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4D7A1" w14:textId="77777777" w:rsidR="0008155D" w:rsidRPr="00D12DDE" w:rsidRDefault="0008155D" w:rsidP="0008155D">
      <w:pPr>
        <w:autoSpaceDE w:val="0"/>
        <w:autoSpaceDN w:val="0"/>
        <w:adjustRightInd w:val="0"/>
        <w:rPr>
          <w:rFonts w:ascii="Calibri" w:hAnsi="Calibri" w:cs="Calibri"/>
          <w:bCs/>
          <w:color w:val="000000"/>
          <w:sz w:val="23"/>
          <w:szCs w:val="23"/>
        </w:rPr>
      </w:pPr>
    </w:p>
    <w:p w14:paraId="11912B0F" w14:textId="77777777" w:rsidR="0008155D" w:rsidRPr="003D152F" w:rsidRDefault="0008155D" w:rsidP="0008155D">
      <w:pPr>
        <w:autoSpaceDE w:val="0"/>
        <w:autoSpaceDN w:val="0"/>
        <w:adjustRightInd w:val="0"/>
        <w:spacing w:after="100" w:afterAutospacing="1"/>
        <w:rPr>
          <w:rFonts w:ascii="Calibri" w:hAnsi="Calibri" w:cs="Calibri"/>
          <w:bCs/>
          <w:color w:val="000000"/>
          <w:szCs w:val="24"/>
        </w:rPr>
      </w:pPr>
      <w:bookmarkStart w:id="0" w:name="_Hlk16586692"/>
      <w:bookmarkStart w:id="1" w:name="_Hlk16586739"/>
    </w:p>
    <w:p w14:paraId="36ED441F" w14:textId="77777777" w:rsidR="0008155D" w:rsidRPr="003D152F" w:rsidRDefault="0008155D" w:rsidP="0008155D">
      <w:pPr>
        <w:autoSpaceDE w:val="0"/>
        <w:autoSpaceDN w:val="0"/>
        <w:adjustRightInd w:val="0"/>
        <w:spacing w:after="100" w:afterAutospacing="1"/>
        <w:rPr>
          <w:rFonts w:ascii="Calibri" w:hAnsi="Calibri" w:cs="Calibri"/>
          <w:bCs/>
          <w:color w:val="000000"/>
          <w:szCs w:val="24"/>
        </w:rPr>
      </w:pPr>
    </w:p>
    <w:p w14:paraId="475B210B" w14:textId="77777777" w:rsidR="0008155D" w:rsidRPr="003D152F" w:rsidRDefault="0008155D" w:rsidP="0008155D">
      <w:pPr>
        <w:autoSpaceDE w:val="0"/>
        <w:autoSpaceDN w:val="0"/>
        <w:adjustRightInd w:val="0"/>
        <w:spacing w:after="100" w:afterAutospacing="1"/>
        <w:rPr>
          <w:rFonts w:ascii="Calibri" w:hAnsi="Calibri" w:cs="Calibri"/>
          <w:bCs/>
          <w:color w:val="000000"/>
          <w:szCs w:val="24"/>
        </w:rPr>
      </w:pPr>
    </w:p>
    <w:p w14:paraId="0E0F7D4A" w14:textId="77777777" w:rsidR="0008155D" w:rsidRPr="00974C91" w:rsidRDefault="0008155D" w:rsidP="0008155D">
      <w:pPr>
        <w:pStyle w:val="Tittel"/>
        <w:jc w:val="center"/>
        <w:rPr>
          <w:b/>
          <w:sz w:val="44"/>
        </w:rPr>
      </w:pPr>
      <w:r w:rsidRPr="00974C91">
        <w:rPr>
          <w:b/>
          <w:sz w:val="44"/>
        </w:rPr>
        <w:t>Bransjeanbefaling for medlemmene i Verdipapirfondenes forening</w:t>
      </w:r>
    </w:p>
    <w:p w14:paraId="03462EA4" w14:textId="77777777" w:rsidR="0008155D" w:rsidRDefault="0008155D" w:rsidP="0008155D">
      <w:pPr>
        <w:pStyle w:val="Tittel"/>
        <w:rPr>
          <w:b/>
        </w:rPr>
      </w:pPr>
    </w:p>
    <w:p w14:paraId="36780A3E" w14:textId="77777777" w:rsidR="0008155D" w:rsidRPr="00D12DDE" w:rsidRDefault="0008155D" w:rsidP="0008155D">
      <w:pPr>
        <w:pStyle w:val="Tittel"/>
        <w:jc w:val="center"/>
        <w:rPr>
          <w:b/>
          <w:sz w:val="48"/>
        </w:rPr>
      </w:pPr>
      <w:r w:rsidRPr="0008155D">
        <w:rPr>
          <w:b/>
          <w:sz w:val="48"/>
        </w:rPr>
        <w:t>Regnskapsføring og daglig verdivurdering av utsatt skatt i aksje- og kombinasjonsfond</w:t>
      </w:r>
    </w:p>
    <w:p w14:paraId="362DBD00" w14:textId="7A0D532E" w:rsidR="0008155D" w:rsidRPr="00F8638C" w:rsidRDefault="0008155D" w:rsidP="0008155D">
      <w:pPr>
        <w:jc w:val="center"/>
        <w:rPr>
          <w:rFonts w:ascii="Calibri Light" w:hAnsi="Calibri Light"/>
          <w:sz w:val="20"/>
        </w:rPr>
      </w:pPr>
      <w:r w:rsidRPr="0008155D" w:rsidDel="006E7FDB">
        <w:rPr>
          <w:rFonts w:ascii="Calibri Light" w:hAnsi="Calibri Light"/>
          <w:b/>
          <w:sz w:val="32"/>
        </w:rPr>
        <w:t xml:space="preserve"> </w:t>
      </w:r>
      <w:r w:rsidRPr="00F8638C">
        <w:rPr>
          <w:rFonts w:ascii="Calibri Light" w:hAnsi="Calibri Light"/>
          <w:sz w:val="20"/>
        </w:rPr>
        <w:t xml:space="preserve">Fastsatt av styret i Verdipapirfondenes forening 20. september 2007. Siste gang revidert </w:t>
      </w:r>
      <w:r w:rsidR="00F8638C" w:rsidRPr="00F8638C">
        <w:rPr>
          <w:rFonts w:ascii="Calibri Light" w:hAnsi="Calibri Light"/>
          <w:sz w:val="20"/>
        </w:rPr>
        <w:t>28</w:t>
      </w:r>
      <w:r w:rsidRPr="00F8638C">
        <w:rPr>
          <w:rFonts w:ascii="Calibri Light" w:hAnsi="Calibri Light"/>
          <w:sz w:val="20"/>
        </w:rPr>
        <w:t xml:space="preserve">. </w:t>
      </w:r>
      <w:r w:rsidR="00F8638C" w:rsidRPr="00F8638C">
        <w:rPr>
          <w:rFonts w:ascii="Calibri Light" w:hAnsi="Calibri Light"/>
          <w:sz w:val="20"/>
        </w:rPr>
        <w:t>november 2023</w:t>
      </w:r>
      <w:r w:rsidRPr="00F8638C">
        <w:rPr>
          <w:rFonts w:ascii="Calibri Light" w:hAnsi="Calibri Light"/>
          <w:sz w:val="20"/>
        </w:rPr>
        <w:t xml:space="preserve">. </w:t>
      </w:r>
    </w:p>
    <w:bookmarkEnd w:id="0"/>
    <w:bookmarkEnd w:id="1"/>
    <w:p w14:paraId="13B876A1" w14:textId="77777777" w:rsidR="0014705C" w:rsidRPr="0014705C" w:rsidRDefault="0008155D" w:rsidP="002A0887">
      <w:pPr>
        <w:rPr>
          <w:rFonts w:ascii="Calibri" w:hAnsi="Calibri" w:cs="Calibri"/>
          <w:b/>
        </w:rPr>
      </w:pPr>
      <w:r>
        <w:rPr>
          <w:rFonts w:ascii="Calibri" w:hAnsi="Calibri" w:cs="Calibri"/>
          <w:b/>
        </w:rPr>
        <w:br w:type="page"/>
      </w:r>
      <w:r w:rsidR="0014705C" w:rsidRPr="0014705C">
        <w:rPr>
          <w:rFonts w:ascii="Calibri" w:hAnsi="Calibri" w:cs="Calibri"/>
          <w:b/>
        </w:rPr>
        <w:lastRenderedPageBreak/>
        <w:t>Bransjeanbefaling for medlemmene av Verdipapirfondenes forening:</w:t>
      </w:r>
    </w:p>
    <w:p w14:paraId="26ABB8DC" w14:textId="77777777" w:rsidR="006A5254" w:rsidRPr="008E0887" w:rsidRDefault="006A5254" w:rsidP="002A0887">
      <w:pPr>
        <w:rPr>
          <w:rFonts w:ascii="Calibri" w:hAnsi="Calibri" w:cs="Calibri"/>
          <w:b/>
          <w:sz w:val="16"/>
        </w:rPr>
      </w:pPr>
    </w:p>
    <w:p w14:paraId="24DF9682" w14:textId="77777777" w:rsidR="006A5254" w:rsidRPr="007052FE" w:rsidRDefault="0008155D" w:rsidP="002A0887">
      <w:pPr>
        <w:rPr>
          <w:rFonts w:ascii="Calibri" w:hAnsi="Calibri" w:cs="Calibri"/>
          <w:sz w:val="22"/>
        </w:rPr>
      </w:pPr>
      <w:r w:rsidRPr="002A0887">
        <w:rPr>
          <w:rFonts w:ascii="Calibri" w:hAnsi="Calibri" w:cs="Calibri"/>
          <w:sz w:val="20"/>
        </w:rPr>
        <w:t xml:space="preserve"> </w:t>
      </w:r>
      <w:r w:rsidR="006A5254" w:rsidRPr="002A0887">
        <w:rPr>
          <w:rFonts w:ascii="Calibri" w:hAnsi="Calibri" w:cs="Calibri"/>
          <w:sz w:val="20"/>
        </w:rPr>
        <w:t xml:space="preserve">(Fastsatt </w:t>
      </w:r>
      <w:r w:rsidR="000D76CE">
        <w:rPr>
          <w:rFonts w:ascii="Calibri" w:hAnsi="Calibri" w:cs="Calibri"/>
          <w:sz w:val="20"/>
        </w:rPr>
        <w:t>av</w:t>
      </w:r>
      <w:r w:rsidR="006A5254" w:rsidRPr="002A0887">
        <w:rPr>
          <w:rFonts w:ascii="Calibri" w:hAnsi="Calibri" w:cs="Calibri"/>
          <w:sz w:val="20"/>
        </w:rPr>
        <w:t xml:space="preserve"> styret i Verdipapirfondenes </w:t>
      </w:r>
      <w:r w:rsidR="00D37B13" w:rsidRPr="002A0887">
        <w:rPr>
          <w:rFonts w:ascii="Calibri" w:hAnsi="Calibri" w:cs="Calibri"/>
          <w:sz w:val="20"/>
        </w:rPr>
        <w:t>f</w:t>
      </w:r>
      <w:r w:rsidR="006A5254" w:rsidRPr="002A0887">
        <w:rPr>
          <w:rFonts w:ascii="Calibri" w:hAnsi="Calibri" w:cs="Calibri"/>
          <w:sz w:val="20"/>
        </w:rPr>
        <w:t xml:space="preserve">orening </w:t>
      </w:r>
      <w:r w:rsidR="00D37B13" w:rsidRPr="002A0887">
        <w:rPr>
          <w:rFonts w:ascii="Calibri" w:hAnsi="Calibri" w:cs="Calibri"/>
          <w:sz w:val="20"/>
        </w:rPr>
        <w:t>20</w:t>
      </w:r>
      <w:r w:rsidR="006A5254" w:rsidRPr="002A0887">
        <w:rPr>
          <w:rFonts w:ascii="Calibri" w:hAnsi="Calibri" w:cs="Calibri"/>
          <w:sz w:val="20"/>
        </w:rPr>
        <w:t>.</w:t>
      </w:r>
      <w:r w:rsidR="00595BBD" w:rsidRPr="002A0887">
        <w:rPr>
          <w:rFonts w:ascii="Calibri" w:hAnsi="Calibri" w:cs="Calibri"/>
          <w:sz w:val="20"/>
        </w:rPr>
        <w:t xml:space="preserve"> </w:t>
      </w:r>
      <w:r w:rsidR="00D37B13" w:rsidRPr="002A0887">
        <w:rPr>
          <w:rFonts w:ascii="Calibri" w:hAnsi="Calibri" w:cs="Calibri"/>
          <w:sz w:val="20"/>
        </w:rPr>
        <w:t>september 2007</w:t>
      </w:r>
      <w:r w:rsidR="002A0887" w:rsidRPr="007052FE">
        <w:rPr>
          <w:rFonts w:ascii="Calibri" w:hAnsi="Calibri" w:cs="Calibri"/>
          <w:sz w:val="20"/>
        </w:rPr>
        <w:t xml:space="preserve">. </w:t>
      </w:r>
      <w:r w:rsidR="00687CEA" w:rsidRPr="007052FE">
        <w:rPr>
          <w:rFonts w:ascii="Calibri" w:hAnsi="Calibri" w:cs="Calibri"/>
          <w:sz w:val="20"/>
        </w:rPr>
        <w:t>Siste gang r</w:t>
      </w:r>
      <w:r w:rsidR="002A0887" w:rsidRPr="007052FE">
        <w:rPr>
          <w:rFonts w:ascii="Calibri" w:hAnsi="Calibri" w:cs="Calibri"/>
          <w:sz w:val="20"/>
        </w:rPr>
        <w:t xml:space="preserve">evidert </w:t>
      </w:r>
      <w:r w:rsidR="00687CEA" w:rsidRPr="007052FE">
        <w:rPr>
          <w:rFonts w:ascii="Calibri" w:hAnsi="Calibri" w:cs="Calibri"/>
          <w:sz w:val="20"/>
        </w:rPr>
        <w:t>3</w:t>
      </w:r>
      <w:r w:rsidR="0033196C" w:rsidRPr="007052FE">
        <w:rPr>
          <w:rFonts w:ascii="Calibri" w:hAnsi="Calibri" w:cs="Calibri"/>
          <w:sz w:val="20"/>
        </w:rPr>
        <w:t>.</w:t>
      </w:r>
      <w:r w:rsidR="00687CEA" w:rsidRPr="007052FE">
        <w:rPr>
          <w:rFonts w:ascii="Calibri" w:hAnsi="Calibri" w:cs="Calibri"/>
          <w:sz w:val="20"/>
        </w:rPr>
        <w:t xml:space="preserve"> april</w:t>
      </w:r>
      <w:r w:rsidR="0033196C" w:rsidRPr="007052FE">
        <w:rPr>
          <w:rFonts w:ascii="Calibri" w:hAnsi="Calibri" w:cs="Calibri"/>
          <w:sz w:val="20"/>
        </w:rPr>
        <w:t xml:space="preserve"> 201</w:t>
      </w:r>
      <w:r w:rsidR="00687CEA" w:rsidRPr="007052FE">
        <w:rPr>
          <w:rFonts w:ascii="Calibri" w:hAnsi="Calibri" w:cs="Calibri"/>
          <w:sz w:val="20"/>
        </w:rPr>
        <w:t>4</w:t>
      </w:r>
      <w:r w:rsidR="0033196C" w:rsidRPr="007052FE">
        <w:rPr>
          <w:rFonts w:ascii="Calibri" w:hAnsi="Calibri" w:cs="Calibri"/>
          <w:sz w:val="20"/>
        </w:rPr>
        <w:t>.</w:t>
      </w:r>
      <w:r w:rsidR="007C57CB">
        <w:rPr>
          <w:rFonts w:ascii="Calibri" w:hAnsi="Calibri" w:cs="Calibri"/>
          <w:sz w:val="20"/>
        </w:rPr>
        <w:t xml:space="preserve"> Redaksjonelle endringer 11. juli 2019.</w:t>
      </w:r>
      <w:r w:rsidR="006A5254" w:rsidRPr="007052FE">
        <w:rPr>
          <w:rFonts w:ascii="Calibri" w:hAnsi="Calibri" w:cs="Calibri"/>
          <w:sz w:val="20"/>
        </w:rPr>
        <w:t>)</w:t>
      </w:r>
    </w:p>
    <w:p w14:paraId="309DB0C0" w14:textId="77777777" w:rsidR="006A5254" w:rsidRPr="008E0887" w:rsidRDefault="006A5254" w:rsidP="006A5254">
      <w:pPr>
        <w:jc w:val="center"/>
        <w:rPr>
          <w:rFonts w:ascii="Calibri" w:hAnsi="Calibri" w:cs="Calibri"/>
        </w:rPr>
      </w:pPr>
    </w:p>
    <w:p w14:paraId="2C928015" w14:textId="77777777" w:rsidR="00C169EC" w:rsidRPr="008E0887" w:rsidRDefault="00C169EC" w:rsidP="006A5254">
      <w:pPr>
        <w:jc w:val="center"/>
        <w:rPr>
          <w:rFonts w:ascii="Calibri" w:hAnsi="Calibri" w:cs="Calibri"/>
        </w:rPr>
      </w:pPr>
    </w:p>
    <w:p w14:paraId="0B48604D" w14:textId="77777777" w:rsidR="006A5254" w:rsidRPr="008E0887" w:rsidRDefault="006A5254" w:rsidP="006A5254">
      <w:pPr>
        <w:pStyle w:val="Overskrift2"/>
        <w:numPr>
          <w:ilvl w:val="0"/>
          <w:numId w:val="1"/>
        </w:numPr>
        <w:tabs>
          <w:tab w:val="clear" w:pos="720"/>
          <w:tab w:val="num" w:pos="360"/>
        </w:tabs>
        <w:ind w:left="360"/>
        <w:rPr>
          <w:rFonts w:ascii="Calibri" w:hAnsi="Calibri" w:cs="Calibri"/>
          <w:i w:val="0"/>
        </w:rPr>
      </w:pPr>
      <w:r w:rsidRPr="008E0887">
        <w:rPr>
          <w:rFonts w:ascii="Calibri" w:hAnsi="Calibri" w:cs="Calibri"/>
          <w:i w:val="0"/>
        </w:rPr>
        <w:t>Formell status og ikrafttredelse</w:t>
      </w:r>
    </w:p>
    <w:p w14:paraId="72A32610" w14:textId="77777777" w:rsidR="006A5254" w:rsidRPr="008E0887" w:rsidRDefault="006A5254" w:rsidP="006A5254">
      <w:pPr>
        <w:rPr>
          <w:rFonts w:ascii="Calibri" w:hAnsi="Calibri" w:cs="Calibri"/>
          <w:sz w:val="18"/>
        </w:rPr>
      </w:pPr>
      <w:r w:rsidRPr="008E0887">
        <w:rPr>
          <w:rFonts w:ascii="Calibri" w:hAnsi="Calibri" w:cs="Calibri"/>
          <w:color w:val="000000"/>
          <w:sz w:val="22"/>
        </w:rPr>
        <w:t xml:space="preserve">Verdipapirfondenes </w:t>
      </w:r>
      <w:r w:rsidR="00D37B13" w:rsidRPr="008E0887">
        <w:rPr>
          <w:rFonts w:ascii="Calibri" w:hAnsi="Calibri" w:cs="Calibri"/>
          <w:color w:val="000000"/>
          <w:sz w:val="22"/>
        </w:rPr>
        <w:t>f</w:t>
      </w:r>
      <w:r w:rsidRPr="008E0887">
        <w:rPr>
          <w:rFonts w:ascii="Calibri" w:hAnsi="Calibri" w:cs="Calibri"/>
          <w:color w:val="000000"/>
          <w:sz w:val="22"/>
        </w:rPr>
        <w:t xml:space="preserve">orening fastsetter to typer bransjenormer; anbefalinger og standarder. Bransjestandarder, som vedtas av foreningens generalforsamling, er </w:t>
      </w:r>
      <w:r w:rsidR="005E29EF" w:rsidRPr="008E0887">
        <w:rPr>
          <w:rFonts w:ascii="Calibri" w:hAnsi="Calibri" w:cs="Calibri"/>
          <w:color w:val="000000"/>
          <w:sz w:val="22"/>
        </w:rPr>
        <w:t>medlemsselskapene</w:t>
      </w:r>
      <w:r w:rsidRPr="008E0887">
        <w:rPr>
          <w:rFonts w:ascii="Calibri" w:hAnsi="Calibri" w:cs="Calibri"/>
          <w:color w:val="000000"/>
          <w:sz w:val="22"/>
        </w:rPr>
        <w:t xml:space="preserve"> forpliktet til å følge</w:t>
      </w:r>
      <w:r w:rsidR="009F65C1" w:rsidRPr="008E0887">
        <w:rPr>
          <w:rFonts w:ascii="Calibri" w:hAnsi="Calibri" w:cs="Calibri"/>
          <w:color w:val="000000"/>
          <w:sz w:val="22"/>
        </w:rPr>
        <w:t>. B</w:t>
      </w:r>
      <w:r w:rsidR="00BD45C6" w:rsidRPr="008E0887">
        <w:rPr>
          <w:rFonts w:ascii="Calibri" w:hAnsi="Calibri" w:cs="Calibri"/>
          <w:sz w:val="22"/>
          <w:szCs w:val="24"/>
        </w:rPr>
        <w:t>ransjeanbefalinger</w:t>
      </w:r>
      <w:r w:rsidR="009F65C1" w:rsidRPr="008E0887">
        <w:rPr>
          <w:rFonts w:ascii="Calibri" w:hAnsi="Calibri" w:cs="Calibri"/>
          <w:sz w:val="22"/>
          <w:szCs w:val="24"/>
        </w:rPr>
        <w:t xml:space="preserve"> </w:t>
      </w:r>
      <w:r w:rsidR="00BD45C6" w:rsidRPr="008E0887">
        <w:rPr>
          <w:rFonts w:ascii="Calibri" w:hAnsi="Calibri" w:cs="Calibri"/>
          <w:sz w:val="22"/>
          <w:szCs w:val="24"/>
        </w:rPr>
        <w:t>vedtas av forenin</w:t>
      </w:r>
      <w:r w:rsidR="009F65C1" w:rsidRPr="008E0887">
        <w:rPr>
          <w:rFonts w:ascii="Calibri" w:hAnsi="Calibri" w:cs="Calibri"/>
          <w:sz w:val="22"/>
          <w:szCs w:val="24"/>
        </w:rPr>
        <w:t xml:space="preserve">gens styre og er </w:t>
      </w:r>
      <w:r w:rsidR="00C626A6" w:rsidRPr="008E0887">
        <w:rPr>
          <w:rFonts w:ascii="Calibri" w:hAnsi="Calibri" w:cs="Calibri"/>
          <w:sz w:val="22"/>
          <w:szCs w:val="24"/>
        </w:rPr>
        <w:t>ikke forpliktende</w:t>
      </w:r>
      <w:r w:rsidR="00913F8D" w:rsidRPr="008E0887">
        <w:rPr>
          <w:rFonts w:ascii="Calibri" w:hAnsi="Calibri" w:cs="Calibri"/>
          <w:sz w:val="22"/>
          <w:szCs w:val="24"/>
        </w:rPr>
        <w:t>, men</w:t>
      </w:r>
      <w:r w:rsidR="00C626A6" w:rsidRPr="008E0887">
        <w:rPr>
          <w:rFonts w:ascii="Calibri" w:hAnsi="Calibri" w:cs="Calibri"/>
          <w:sz w:val="22"/>
          <w:szCs w:val="24"/>
        </w:rPr>
        <w:t xml:space="preserve"> </w:t>
      </w:r>
      <w:r w:rsidR="00BD45C6" w:rsidRPr="008E0887">
        <w:rPr>
          <w:rFonts w:ascii="Calibri" w:hAnsi="Calibri" w:cs="Calibri"/>
          <w:sz w:val="22"/>
          <w:szCs w:val="24"/>
        </w:rPr>
        <w:t xml:space="preserve">representerer </w:t>
      </w:r>
      <w:r w:rsidR="004E32C3" w:rsidRPr="004E32C3">
        <w:rPr>
          <w:rFonts w:ascii="Calibri" w:hAnsi="Calibri" w:cs="Calibri"/>
          <w:sz w:val="22"/>
          <w:szCs w:val="24"/>
        </w:rPr>
        <w:t>veiledning</w:t>
      </w:r>
      <w:r w:rsidR="004E32C3">
        <w:rPr>
          <w:rFonts w:ascii="Calibri" w:hAnsi="Calibri" w:cs="Calibri"/>
          <w:sz w:val="22"/>
          <w:szCs w:val="24"/>
        </w:rPr>
        <w:t xml:space="preserve"> og</w:t>
      </w:r>
      <w:r w:rsidR="004E32C3" w:rsidRPr="004E32C3">
        <w:rPr>
          <w:rFonts w:ascii="Calibri" w:hAnsi="Calibri" w:cs="Calibri"/>
          <w:sz w:val="22"/>
          <w:szCs w:val="24"/>
        </w:rPr>
        <w:t xml:space="preserve"> </w:t>
      </w:r>
      <w:r w:rsidR="004E32C3" w:rsidRPr="008E0887">
        <w:rPr>
          <w:rFonts w:ascii="Calibri" w:hAnsi="Calibri" w:cs="Calibri"/>
          <w:sz w:val="22"/>
          <w:szCs w:val="24"/>
        </w:rPr>
        <w:t xml:space="preserve">råd </w:t>
      </w:r>
      <w:r w:rsidR="00C626A6" w:rsidRPr="008E0887">
        <w:rPr>
          <w:rFonts w:ascii="Calibri" w:hAnsi="Calibri" w:cs="Calibri"/>
          <w:sz w:val="22"/>
          <w:szCs w:val="24"/>
        </w:rPr>
        <w:t>på utvalgte områder</w:t>
      </w:r>
      <w:r w:rsidRPr="008E0887">
        <w:rPr>
          <w:rFonts w:ascii="Calibri" w:hAnsi="Calibri" w:cs="Calibri"/>
          <w:color w:val="000000"/>
          <w:sz w:val="22"/>
        </w:rPr>
        <w:t xml:space="preserve">. </w:t>
      </w:r>
    </w:p>
    <w:p w14:paraId="77F82793" w14:textId="77777777" w:rsidR="009A755F" w:rsidRPr="008E0887" w:rsidRDefault="009A755F" w:rsidP="006A5254">
      <w:pPr>
        <w:rPr>
          <w:rFonts w:ascii="Calibri" w:hAnsi="Calibri" w:cs="Calibri"/>
          <w:color w:val="000000"/>
          <w:sz w:val="18"/>
        </w:rPr>
      </w:pPr>
    </w:p>
    <w:p w14:paraId="061324AC" w14:textId="77777777" w:rsidR="006A5254" w:rsidRPr="008E0887" w:rsidRDefault="006A5254" w:rsidP="006A5254">
      <w:pPr>
        <w:rPr>
          <w:rFonts w:ascii="Calibri" w:hAnsi="Calibri" w:cs="Calibri"/>
          <w:sz w:val="22"/>
        </w:rPr>
      </w:pPr>
      <w:r w:rsidRPr="008E0887">
        <w:rPr>
          <w:rFonts w:ascii="Calibri" w:hAnsi="Calibri" w:cs="Calibri"/>
          <w:sz w:val="22"/>
        </w:rPr>
        <w:t xml:space="preserve">Denne bransjeanbefalingen trer i kraft </w:t>
      </w:r>
      <w:r w:rsidR="007B2E7A" w:rsidRPr="008E0887">
        <w:rPr>
          <w:rFonts w:ascii="Calibri" w:hAnsi="Calibri" w:cs="Calibri"/>
          <w:sz w:val="22"/>
        </w:rPr>
        <w:t>umiddelbart</w:t>
      </w:r>
      <w:r w:rsidRPr="008E0887">
        <w:rPr>
          <w:rFonts w:ascii="Calibri" w:hAnsi="Calibri" w:cs="Calibri"/>
          <w:sz w:val="22"/>
        </w:rPr>
        <w:t>.</w:t>
      </w:r>
    </w:p>
    <w:p w14:paraId="27728E1D" w14:textId="77777777" w:rsidR="006A5254" w:rsidRPr="008E0887" w:rsidRDefault="006A5254" w:rsidP="006A5254">
      <w:pPr>
        <w:rPr>
          <w:rFonts w:ascii="Calibri" w:hAnsi="Calibri" w:cs="Calibri"/>
        </w:rPr>
      </w:pPr>
    </w:p>
    <w:p w14:paraId="70C2A7C7" w14:textId="77777777" w:rsidR="006A5254" w:rsidRPr="008E0887" w:rsidRDefault="006A5254" w:rsidP="006A5254">
      <w:pPr>
        <w:pStyle w:val="Overskrift1"/>
        <w:numPr>
          <w:ilvl w:val="0"/>
          <w:numId w:val="1"/>
        </w:numPr>
        <w:tabs>
          <w:tab w:val="clear" w:pos="720"/>
          <w:tab w:val="num" w:pos="360"/>
        </w:tabs>
        <w:ind w:left="360"/>
        <w:rPr>
          <w:rFonts w:ascii="Calibri" w:hAnsi="Calibri" w:cs="Calibri"/>
        </w:rPr>
      </w:pPr>
      <w:r w:rsidRPr="008E0887">
        <w:rPr>
          <w:rFonts w:ascii="Calibri" w:hAnsi="Calibri" w:cs="Calibri"/>
        </w:rPr>
        <w:t>Bakgrunn</w:t>
      </w:r>
    </w:p>
    <w:p w14:paraId="76AB74CD" w14:textId="77777777" w:rsidR="001C3370" w:rsidRPr="008E0887" w:rsidRDefault="005E29EF" w:rsidP="00095D5E">
      <w:pPr>
        <w:rPr>
          <w:rFonts w:ascii="Calibri" w:hAnsi="Calibri" w:cs="Calibri"/>
          <w:sz w:val="22"/>
        </w:rPr>
      </w:pPr>
      <w:r w:rsidRPr="008E0887">
        <w:rPr>
          <w:rFonts w:ascii="Calibri" w:hAnsi="Calibri" w:cs="Calibri"/>
          <w:sz w:val="22"/>
        </w:rPr>
        <w:t>Denne</w:t>
      </w:r>
      <w:r w:rsidR="00E7375C" w:rsidRPr="008E0887">
        <w:rPr>
          <w:rFonts w:ascii="Calibri" w:hAnsi="Calibri" w:cs="Calibri"/>
          <w:sz w:val="22"/>
        </w:rPr>
        <w:t xml:space="preserve"> bransjeanbefalingen </w:t>
      </w:r>
      <w:r w:rsidRPr="008E0887">
        <w:rPr>
          <w:rFonts w:ascii="Calibri" w:hAnsi="Calibri" w:cs="Calibri"/>
          <w:sz w:val="22"/>
        </w:rPr>
        <w:t>behandler</w:t>
      </w:r>
      <w:r w:rsidR="00E7375C" w:rsidRPr="008E0887">
        <w:rPr>
          <w:rFonts w:ascii="Calibri" w:hAnsi="Calibri" w:cs="Calibri"/>
          <w:sz w:val="22"/>
        </w:rPr>
        <w:t xml:space="preserve"> regnskapsføring og daglig verdivurdering av</w:t>
      </w:r>
      <w:r w:rsidR="001C3370" w:rsidRPr="008E0887">
        <w:rPr>
          <w:rFonts w:ascii="Calibri" w:hAnsi="Calibri" w:cs="Calibri"/>
          <w:sz w:val="22"/>
        </w:rPr>
        <w:t xml:space="preserve"> utsatt skatt på </w:t>
      </w:r>
      <w:r w:rsidR="00152CD0" w:rsidRPr="008E0887">
        <w:rPr>
          <w:rFonts w:ascii="Calibri" w:hAnsi="Calibri" w:cs="Calibri"/>
          <w:sz w:val="22"/>
        </w:rPr>
        <w:t xml:space="preserve">netto </w:t>
      </w:r>
      <w:r w:rsidR="001C3370" w:rsidRPr="008E0887">
        <w:rPr>
          <w:rFonts w:ascii="Calibri" w:hAnsi="Calibri" w:cs="Calibri"/>
          <w:sz w:val="22"/>
        </w:rPr>
        <w:t>urealiserte gevinster på skattepliktige finansielle instrumenter</w:t>
      </w:r>
      <w:r w:rsidR="00E7375C" w:rsidRPr="008E0887">
        <w:rPr>
          <w:rFonts w:ascii="Calibri" w:hAnsi="Calibri" w:cs="Calibri"/>
          <w:sz w:val="22"/>
        </w:rPr>
        <w:t>.</w:t>
      </w:r>
      <w:r w:rsidR="00B922AD" w:rsidRPr="008E0887">
        <w:rPr>
          <w:rFonts w:ascii="Calibri" w:hAnsi="Calibri" w:cs="Calibri"/>
          <w:sz w:val="22"/>
        </w:rPr>
        <w:t xml:space="preserve"> </w:t>
      </w:r>
      <w:r w:rsidR="00152CD0" w:rsidRPr="008E0887">
        <w:rPr>
          <w:rFonts w:ascii="Calibri" w:hAnsi="Calibri" w:cs="Calibri"/>
          <w:sz w:val="22"/>
        </w:rPr>
        <w:t xml:space="preserve">Det understrekes at anbefalingen kun berører utsatt skatt på </w:t>
      </w:r>
      <w:r w:rsidR="00A64C52">
        <w:rPr>
          <w:rFonts w:ascii="Calibri" w:hAnsi="Calibri" w:cs="Calibri"/>
          <w:sz w:val="22"/>
        </w:rPr>
        <w:t xml:space="preserve">netto </w:t>
      </w:r>
      <w:r w:rsidR="00152CD0" w:rsidRPr="008E0887">
        <w:rPr>
          <w:rFonts w:ascii="Calibri" w:hAnsi="Calibri" w:cs="Calibri"/>
          <w:sz w:val="22"/>
        </w:rPr>
        <w:t xml:space="preserve">urealiserte gevinster. </w:t>
      </w:r>
      <w:r w:rsidR="00B922AD" w:rsidRPr="008E0887">
        <w:rPr>
          <w:rFonts w:ascii="Calibri" w:hAnsi="Calibri" w:cs="Calibri"/>
          <w:sz w:val="22"/>
        </w:rPr>
        <w:t>De konkrete råd som gis i denne a</w:t>
      </w:r>
      <w:r w:rsidR="001C3370" w:rsidRPr="008E0887">
        <w:rPr>
          <w:rFonts w:ascii="Calibri" w:hAnsi="Calibri" w:cs="Calibri"/>
          <w:sz w:val="22"/>
        </w:rPr>
        <w:t>nbefalingen er i tråd med faglige råd fra toneangivende revisjonsmiljøer.</w:t>
      </w:r>
      <w:r w:rsidR="00152CD0" w:rsidRPr="008E0887">
        <w:rPr>
          <w:rFonts w:ascii="Calibri" w:hAnsi="Calibri" w:cs="Calibri"/>
          <w:sz w:val="22"/>
        </w:rPr>
        <w:t xml:space="preserve"> </w:t>
      </w:r>
    </w:p>
    <w:p w14:paraId="2AACD1E3" w14:textId="77777777" w:rsidR="001C3370" w:rsidRPr="008E0887" w:rsidRDefault="001C3370" w:rsidP="00095D5E">
      <w:pPr>
        <w:rPr>
          <w:rFonts w:ascii="Calibri" w:hAnsi="Calibri" w:cs="Calibri"/>
          <w:sz w:val="22"/>
        </w:rPr>
      </w:pPr>
    </w:p>
    <w:p w14:paraId="42FCBD38" w14:textId="77777777" w:rsidR="00E7375C" w:rsidRPr="008E0887" w:rsidRDefault="00BA2F4E" w:rsidP="00E7375C">
      <w:pPr>
        <w:rPr>
          <w:rFonts w:ascii="Calibri" w:hAnsi="Calibri" w:cs="Calibri"/>
          <w:sz w:val="22"/>
        </w:rPr>
      </w:pPr>
      <w:r w:rsidRPr="00BA2F4E">
        <w:rPr>
          <w:rFonts w:ascii="Calibri" w:hAnsi="Calibri" w:cs="Calibri"/>
          <w:sz w:val="22"/>
        </w:rPr>
        <w:t>Anbefalingen gjelder kun for aksje- og kombinasjonsfond som forventes å komme i betalbar skatteposisjon.</w:t>
      </w:r>
      <w:r w:rsidR="0008155D">
        <w:rPr>
          <w:rFonts w:ascii="Calibri" w:hAnsi="Calibri" w:cs="Calibri"/>
          <w:sz w:val="22"/>
        </w:rPr>
        <w:t xml:space="preserve"> </w:t>
      </w:r>
      <w:r w:rsidR="00E7375C" w:rsidRPr="008E0887">
        <w:rPr>
          <w:rFonts w:ascii="Calibri" w:hAnsi="Calibri" w:cs="Calibri"/>
          <w:sz w:val="22"/>
        </w:rPr>
        <w:t>Aksje- og kombinasjonsfond som betaler skatt bør i henhold til denne bransjeanbefalingen foreta avsetninger</w:t>
      </w:r>
      <w:r w:rsidR="004C04D6" w:rsidRPr="008E0887">
        <w:rPr>
          <w:rFonts w:ascii="Calibri" w:hAnsi="Calibri" w:cs="Calibri"/>
          <w:sz w:val="22"/>
        </w:rPr>
        <w:t xml:space="preserve"> på daglig basis</w:t>
      </w:r>
      <w:r w:rsidR="00E7375C" w:rsidRPr="008E0887">
        <w:rPr>
          <w:rFonts w:ascii="Calibri" w:hAnsi="Calibri" w:cs="Calibri"/>
          <w:sz w:val="22"/>
        </w:rPr>
        <w:t xml:space="preserve"> for utsatt skatt knyttet til</w:t>
      </w:r>
      <w:r w:rsidR="00152CD0" w:rsidRPr="008E0887">
        <w:rPr>
          <w:rFonts w:ascii="Calibri" w:hAnsi="Calibri" w:cs="Calibri"/>
          <w:sz w:val="22"/>
        </w:rPr>
        <w:t xml:space="preserve"> netto</w:t>
      </w:r>
      <w:r w:rsidR="00E7375C" w:rsidRPr="008E0887">
        <w:rPr>
          <w:rFonts w:ascii="Calibri" w:hAnsi="Calibri" w:cs="Calibri"/>
          <w:sz w:val="22"/>
        </w:rPr>
        <w:t xml:space="preserve"> urealiserte gevinster på skattepliktige finansielle instrumenter. Hovedbegrunnelsen for dette er hensynet til likebehandling av andelseierne: Dersom det ved den daglige kursfastsettelsen ikke tas hensyn til latent skatt på urealiserte gevinster, vil andelskursen</w:t>
      </w:r>
      <w:r w:rsidR="00C626A6" w:rsidRPr="008E0887">
        <w:rPr>
          <w:rFonts w:ascii="Calibri" w:hAnsi="Calibri" w:cs="Calibri"/>
          <w:sz w:val="22"/>
        </w:rPr>
        <w:t xml:space="preserve"> kunne</w:t>
      </w:r>
      <w:r w:rsidR="00E7375C" w:rsidRPr="008E0887">
        <w:rPr>
          <w:rFonts w:ascii="Calibri" w:hAnsi="Calibri" w:cs="Calibri"/>
          <w:sz w:val="22"/>
        </w:rPr>
        <w:t xml:space="preserve"> bli satt for</w:t>
      </w:r>
      <w:r w:rsidR="00960EB0" w:rsidRPr="008E0887">
        <w:rPr>
          <w:rFonts w:ascii="Calibri" w:hAnsi="Calibri" w:cs="Calibri"/>
          <w:sz w:val="22"/>
        </w:rPr>
        <w:t xml:space="preserve"> høyt</w:t>
      </w:r>
      <w:r>
        <w:rPr>
          <w:rFonts w:ascii="Calibri" w:hAnsi="Calibri" w:cs="Calibri"/>
          <w:sz w:val="22"/>
        </w:rPr>
        <w:t>, noe som innebærer</w:t>
      </w:r>
      <w:r w:rsidR="00960EB0" w:rsidRPr="008E0887">
        <w:rPr>
          <w:rFonts w:ascii="Calibri" w:hAnsi="Calibri" w:cs="Calibri"/>
          <w:sz w:val="22"/>
        </w:rPr>
        <w:t xml:space="preserve"> </w:t>
      </w:r>
      <w:r w:rsidR="00E7375C" w:rsidRPr="008E0887">
        <w:rPr>
          <w:rFonts w:ascii="Calibri" w:hAnsi="Calibri" w:cs="Calibri"/>
          <w:sz w:val="22"/>
        </w:rPr>
        <w:t>risiko for at det skjer en forfordeling mellom grupper av andelseiere.</w:t>
      </w:r>
    </w:p>
    <w:p w14:paraId="74F3D951" w14:textId="77777777" w:rsidR="00E7375C" w:rsidRPr="008E0887" w:rsidRDefault="00E7375C" w:rsidP="00E7375C">
      <w:pPr>
        <w:rPr>
          <w:rFonts w:ascii="Calibri" w:hAnsi="Calibri" w:cs="Calibri"/>
          <w:sz w:val="22"/>
        </w:rPr>
      </w:pPr>
    </w:p>
    <w:p w14:paraId="49E4FFAC" w14:textId="60F19F1D" w:rsidR="00E7375C" w:rsidRPr="008E0887" w:rsidRDefault="00E7375C" w:rsidP="00E7375C">
      <w:pPr>
        <w:rPr>
          <w:rFonts w:ascii="Calibri" w:hAnsi="Calibri" w:cs="Calibri"/>
          <w:sz w:val="22"/>
        </w:rPr>
      </w:pPr>
      <w:r w:rsidRPr="008E0887">
        <w:rPr>
          <w:rFonts w:ascii="Calibri" w:hAnsi="Calibri" w:cs="Calibri"/>
          <w:sz w:val="22"/>
        </w:rPr>
        <w:t xml:space="preserve">Verdipapirfond som ikke investerer i egenkapitalinstrumenter, dvs. </w:t>
      </w:r>
      <w:r w:rsidR="000C4528">
        <w:rPr>
          <w:rFonts w:ascii="Calibri" w:hAnsi="Calibri" w:cs="Calibri"/>
          <w:sz w:val="22"/>
        </w:rPr>
        <w:t>likviditets</w:t>
      </w:r>
      <w:r w:rsidRPr="008E0887">
        <w:rPr>
          <w:rFonts w:ascii="Calibri" w:hAnsi="Calibri" w:cs="Calibri"/>
          <w:sz w:val="22"/>
        </w:rPr>
        <w:t>fond og obligasjonsfond, gis fradrag for utdeling av det skattepliktige resultat, og vil dermed ikke betale skatt. For denne gruppen verdipapirfond bør det heller ikke foretas noen avsetning for utsatt skatt</w:t>
      </w:r>
      <w:r w:rsidR="00152CD0" w:rsidRPr="008E0887">
        <w:rPr>
          <w:rFonts w:ascii="Calibri" w:hAnsi="Calibri" w:cs="Calibri"/>
          <w:sz w:val="22"/>
        </w:rPr>
        <w:t xml:space="preserve"> på netto urealiserte gevinster</w:t>
      </w:r>
      <w:r w:rsidRPr="008E0887">
        <w:rPr>
          <w:rFonts w:ascii="Calibri" w:hAnsi="Calibri" w:cs="Calibri"/>
          <w:sz w:val="22"/>
        </w:rPr>
        <w:t xml:space="preserve">. Tilsvarende gjelder også for aksje- og kombinasjonsfond som </w:t>
      </w:r>
      <w:r w:rsidR="00152CD0" w:rsidRPr="008E0887">
        <w:rPr>
          <w:rFonts w:ascii="Calibri" w:hAnsi="Calibri" w:cs="Calibri"/>
          <w:sz w:val="22"/>
        </w:rPr>
        <w:t>ikke forventes å</w:t>
      </w:r>
      <w:r w:rsidRPr="008E0887">
        <w:rPr>
          <w:rFonts w:ascii="Calibri" w:hAnsi="Calibri" w:cs="Calibri"/>
          <w:sz w:val="22"/>
        </w:rPr>
        <w:t xml:space="preserve"> komme i betalbar skatteposisjon. </w:t>
      </w:r>
    </w:p>
    <w:p w14:paraId="71313E13" w14:textId="77777777" w:rsidR="006D230C" w:rsidRPr="008E0887" w:rsidRDefault="006D230C" w:rsidP="006D230C">
      <w:pPr>
        <w:rPr>
          <w:rFonts w:ascii="Calibri" w:hAnsi="Calibri" w:cs="Calibri"/>
          <w:sz w:val="22"/>
        </w:rPr>
      </w:pPr>
    </w:p>
    <w:p w14:paraId="092761E1" w14:textId="77777777" w:rsidR="002B30E0" w:rsidRPr="008E0887" w:rsidRDefault="00514726" w:rsidP="002B30E0">
      <w:pPr>
        <w:numPr>
          <w:ilvl w:val="0"/>
          <w:numId w:val="1"/>
        </w:numPr>
        <w:tabs>
          <w:tab w:val="clear" w:pos="720"/>
          <w:tab w:val="num" w:pos="360"/>
        </w:tabs>
        <w:ind w:left="360"/>
        <w:rPr>
          <w:rFonts w:ascii="Calibri" w:hAnsi="Calibri" w:cs="Calibri"/>
          <w:b/>
        </w:rPr>
      </w:pPr>
      <w:r w:rsidRPr="008E0887">
        <w:rPr>
          <w:rFonts w:ascii="Calibri" w:hAnsi="Calibri" w:cs="Calibri"/>
          <w:b/>
        </w:rPr>
        <w:t>Anbefaling</w:t>
      </w:r>
    </w:p>
    <w:p w14:paraId="46E2BBB2" w14:textId="3071FE11" w:rsidR="00514726" w:rsidRPr="008E0887" w:rsidRDefault="002B30E0" w:rsidP="00095D5E">
      <w:pPr>
        <w:rPr>
          <w:rFonts w:ascii="Calibri" w:hAnsi="Calibri" w:cs="Calibri"/>
          <w:sz w:val="22"/>
        </w:rPr>
      </w:pPr>
      <w:r w:rsidRPr="008E0887">
        <w:rPr>
          <w:rFonts w:ascii="Calibri" w:hAnsi="Calibri" w:cs="Calibri"/>
          <w:sz w:val="22"/>
        </w:rPr>
        <w:t xml:space="preserve">Som hovedregel bør </w:t>
      </w:r>
      <w:r w:rsidR="00E01F16" w:rsidRPr="008E0887">
        <w:rPr>
          <w:rFonts w:ascii="Calibri" w:hAnsi="Calibri" w:cs="Calibri"/>
          <w:sz w:val="22"/>
        </w:rPr>
        <w:t xml:space="preserve">det for </w:t>
      </w:r>
      <w:r w:rsidRPr="008E0887">
        <w:rPr>
          <w:rFonts w:ascii="Calibri" w:hAnsi="Calibri" w:cs="Calibri"/>
          <w:sz w:val="22"/>
        </w:rPr>
        <w:t>aksje- og kombinasjonsfond foreta</w:t>
      </w:r>
      <w:r w:rsidR="00E01F16" w:rsidRPr="008E0887">
        <w:rPr>
          <w:rFonts w:ascii="Calibri" w:hAnsi="Calibri" w:cs="Calibri"/>
          <w:sz w:val="22"/>
        </w:rPr>
        <w:t>s</w:t>
      </w:r>
      <w:r w:rsidRPr="008E0887">
        <w:rPr>
          <w:rFonts w:ascii="Calibri" w:hAnsi="Calibri" w:cs="Calibri"/>
          <w:sz w:val="22"/>
        </w:rPr>
        <w:t xml:space="preserve"> avsetninger for utsatt skatt knyttet til</w:t>
      </w:r>
      <w:r w:rsidR="00152CD0" w:rsidRPr="008E0887">
        <w:rPr>
          <w:rFonts w:ascii="Calibri" w:hAnsi="Calibri" w:cs="Calibri"/>
          <w:sz w:val="22"/>
        </w:rPr>
        <w:t xml:space="preserve"> netto</w:t>
      </w:r>
      <w:r w:rsidRPr="008E0887">
        <w:rPr>
          <w:rFonts w:ascii="Calibri" w:hAnsi="Calibri" w:cs="Calibri"/>
          <w:sz w:val="22"/>
        </w:rPr>
        <w:t xml:space="preserve"> urealiserte gevinster på samtlige skattepliktige finansielle instrumenter. Dette gjelder ikke </w:t>
      </w:r>
      <w:r w:rsidR="00E01F16" w:rsidRPr="008E0887">
        <w:rPr>
          <w:rFonts w:ascii="Calibri" w:hAnsi="Calibri" w:cs="Calibri"/>
          <w:sz w:val="22"/>
        </w:rPr>
        <w:t xml:space="preserve">for aksje- og kombinasjonsfond hvor det med rimelig grad av sikkerhet kan legges til grunn at fondet ikke vil komme i </w:t>
      </w:r>
      <w:r w:rsidR="00514726" w:rsidRPr="008E0887">
        <w:rPr>
          <w:rFonts w:ascii="Calibri" w:hAnsi="Calibri" w:cs="Calibri"/>
          <w:sz w:val="22"/>
        </w:rPr>
        <w:t xml:space="preserve">betalbar </w:t>
      </w:r>
      <w:r w:rsidR="00E01F16" w:rsidRPr="008E0887">
        <w:rPr>
          <w:rFonts w:ascii="Calibri" w:hAnsi="Calibri" w:cs="Calibri"/>
          <w:sz w:val="22"/>
        </w:rPr>
        <w:t xml:space="preserve">skatteposisjon. </w:t>
      </w:r>
    </w:p>
    <w:p w14:paraId="03477608" w14:textId="77777777" w:rsidR="009A0F64" w:rsidRPr="008E0887" w:rsidRDefault="009A0F64" w:rsidP="00095D5E">
      <w:pPr>
        <w:rPr>
          <w:rFonts w:ascii="Calibri" w:hAnsi="Calibri" w:cs="Calibri"/>
          <w:sz w:val="22"/>
        </w:rPr>
      </w:pPr>
    </w:p>
    <w:p w14:paraId="6787C6A1" w14:textId="77777777" w:rsidR="009A0F64" w:rsidRPr="008E0887" w:rsidRDefault="009A0F64" w:rsidP="009A0F64">
      <w:pPr>
        <w:numPr>
          <w:ilvl w:val="0"/>
          <w:numId w:val="7"/>
        </w:numPr>
        <w:rPr>
          <w:rFonts w:ascii="Calibri" w:hAnsi="Calibri" w:cs="Calibri"/>
          <w:i/>
          <w:sz w:val="22"/>
        </w:rPr>
      </w:pPr>
      <w:r w:rsidRPr="008E0887">
        <w:rPr>
          <w:rFonts w:ascii="Calibri" w:hAnsi="Calibri" w:cs="Calibri"/>
          <w:i/>
          <w:sz w:val="22"/>
        </w:rPr>
        <w:t>Forvaltningsselskap bør derfor for hvert enkelt aksje- og kombinasjonsfond selskapet forvalter foreta en løpende vurdering av hvorvidt det er sannsynlig at fondet kommer i betalbar skatteposisjon.</w:t>
      </w:r>
    </w:p>
    <w:p w14:paraId="5EDBF165" w14:textId="77777777" w:rsidR="00514726" w:rsidRPr="008E0887" w:rsidRDefault="00514726" w:rsidP="00095D5E">
      <w:pPr>
        <w:rPr>
          <w:rFonts w:ascii="Calibri" w:hAnsi="Calibri" w:cs="Calibri"/>
          <w:sz w:val="22"/>
        </w:rPr>
      </w:pPr>
    </w:p>
    <w:p w14:paraId="36C8978B" w14:textId="77777777" w:rsidR="00E01F16" w:rsidRPr="008E0887" w:rsidRDefault="00514726" w:rsidP="00095D5E">
      <w:pPr>
        <w:rPr>
          <w:rFonts w:ascii="Calibri" w:hAnsi="Calibri" w:cs="Calibri"/>
          <w:sz w:val="22"/>
        </w:rPr>
      </w:pPr>
      <w:r w:rsidRPr="008E0887">
        <w:rPr>
          <w:rFonts w:ascii="Calibri" w:hAnsi="Calibri" w:cs="Calibri"/>
          <w:sz w:val="22"/>
        </w:rPr>
        <w:t>Dersom det etter en konkret og løpende vurdering legges til grunn at aksje- eller kombinasjons</w:t>
      </w:r>
      <w:r w:rsidR="00E01F16" w:rsidRPr="008E0887">
        <w:rPr>
          <w:rFonts w:ascii="Calibri" w:hAnsi="Calibri" w:cs="Calibri"/>
          <w:sz w:val="22"/>
        </w:rPr>
        <w:t>fond</w:t>
      </w:r>
      <w:r w:rsidRPr="008E0887">
        <w:rPr>
          <w:rFonts w:ascii="Calibri" w:hAnsi="Calibri" w:cs="Calibri"/>
          <w:sz w:val="22"/>
        </w:rPr>
        <w:t xml:space="preserve">et vil komme i skatteposisjon, bør følgende praksis følges når det gjelder </w:t>
      </w:r>
      <w:r w:rsidR="00152CD0" w:rsidRPr="008E0887">
        <w:rPr>
          <w:rFonts w:ascii="Calibri" w:hAnsi="Calibri" w:cs="Calibri"/>
          <w:sz w:val="22"/>
        </w:rPr>
        <w:t xml:space="preserve">netto </w:t>
      </w:r>
      <w:r w:rsidRPr="008E0887">
        <w:rPr>
          <w:rFonts w:ascii="Calibri" w:hAnsi="Calibri" w:cs="Calibri"/>
          <w:sz w:val="22"/>
        </w:rPr>
        <w:t>urealiserte gevinster på skattepliktige finansielle instrumenter:</w:t>
      </w:r>
    </w:p>
    <w:p w14:paraId="486A7FE5" w14:textId="77777777" w:rsidR="004C04D6" w:rsidRPr="008E0887" w:rsidRDefault="004C04D6" w:rsidP="00095D5E">
      <w:pPr>
        <w:rPr>
          <w:rFonts w:ascii="Calibri" w:hAnsi="Calibri" w:cs="Calibri"/>
          <w:sz w:val="22"/>
        </w:rPr>
      </w:pPr>
    </w:p>
    <w:p w14:paraId="38B94A36" w14:textId="77777777" w:rsidR="000057D4" w:rsidRPr="002A524F" w:rsidRDefault="009A0F64" w:rsidP="002A524F">
      <w:pPr>
        <w:numPr>
          <w:ilvl w:val="0"/>
          <w:numId w:val="7"/>
        </w:numPr>
        <w:rPr>
          <w:rFonts w:ascii="Calibri" w:hAnsi="Calibri" w:cs="Calibri"/>
          <w:i/>
          <w:sz w:val="22"/>
        </w:rPr>
      </w:pPr>
      <w:r w:rsidRPr="002A524F">
        <w:rPr>
          <w:rFonts w:ascii="Calibri" w:hAnsi="Calibri" w:cs="Calibri"/>
          <w:i/>
          <w:sz w:val="22"/>
        </w:rPr>
        <w:lastRenderedPageBreak/>
        <w:t>I regnskapet for fondet bør det foretas en avsetning for utsatt skatt knyttet til</w:t>
      </w:r>
      <w:r w:rsidR="00152CD0" w:rsidRPr="002A524F">
        <w:rPr>
          <w:rFonts w:ascii="Calibri" w:hAnsi="Calibri" w:cs="Calibri"/>
          <w:i/>
          <w:sz w:val="22"/>
        </w:rPr>
        <w:t xml:space="preserve"> netto</w:t>
      </w:r>
      <w:r w:rsidRPr="002A524F">
        <w:rPr>
          <w:rFonts w:ascii="Calibri" w:hAnsi="Calibri" w:cs="Calibri"/>
          <w:i/>
          <w:sz w:val="22"/>
        </w:rPr>
        <w:t xml:space="preserve"> urealiser</w:t>
      </w:r>
      <w:r w:rsidR="00152CD0" w:rsidRPr="002A524F">
        <w:rPr>
          <w:rFonts w:ascii="Calibri" w:hAnsi="Calibri" w:cs="Calibri"/>
          <w:i/>
          <w:sz w:val="22"/>
        </w:rPr>
        <w:t>t</w:t>
      </w:r>
      <w:r w:rsidRPr="002A524F">
        <w:rPr>
          <w:rFonts w:ascii="Calibri" w:hAnsi="Calibri" w:cs="Calibri"/>
          <w:i/>
          <w:sz w:val="22"/>
        </w:rPr>
        <w:t xml:space="preserve"> gevins</w:t>
      </w:r>
      <w:r w:rsidR="00152CD0" w:rsidRPr="002A524F">
        <w:rPr>
          <w:rFonts w:ascii="Calibri" w:hAnsi="Calibri" w:cs="Calibri"/>
          <w:i/>
          <w:sz w:val="22"/>
        </w:rPr>
        <w:t>t</w:t>
      </w:r>
      <w:r w:rsidRPr="002A524F">
        <w:rPr>
          <w:rFonts w:ascii="Calibri" w:hAnsi="Calibri" w:cs="Calibri"/>
          <w:i/>
          <w:sz w:val="22"/>
        </w:rPr>
        <w:t>.</w:t>
      </w:r>
      <w:r w:rsidR="002A524F" w:rsidRPr="002A524F">
        <w:rPr>
          <w:rFonts w:ascii="Calibri" w:hAnsi="Calibri" w:cs="Calibri"/>
          <w:i/>
          <w:sz w:val="22"/>
        </w:rPr>
        <w:t xml:space="preserve"> </w:t>
      </w:r>
    </w:p>
    <w:p w14:paraId="3760C12D" w14:textId="77777777" w:rsidR="009A0F64" w:rsidRPr="008E0887" w:rsidRDefault="009A0F64" w:rsidP="009A0F64">
      <w:pPr>
        <w:ind w:left="360"/>
        <w:rPr>
          <w:rFonts w:ascii="Calibri" w:hAnsi="Calibri" w:cs="Calibri"/>
          <w:i/>
          <w:sz w:val="22"/>
        </w:rPr>
      </w:pPr>
    </w:p>
    <w:p w14:paraId="15DFA0BC" w14:textId="77777777" w:rsidR="009A0F64" w:rsidRPr="008E0887" w:rsidRDefault="009A0F64" w:rsidP="009A0F64">
      <w:pPr>
        <w:numPr>
          <w:ilvl w:val="0"/>
          <w:numId w:val="7"/>
        </w:numPr>
        <w:rPr>
          <w:rFonts w:ascii="Calibri" w:hAnsi="Calibri" w:cs="Calibri"/>
          <w:i/>
          <w:sz w:val="22"/>
        </w:rPr>
      </w:pPr>
      <w:r w:rsidRPr="008E0887">
        <w:rPr>
          <w:rFonts w:ascii="Calibri" w:hAnsi="Calibri" w:cs="Calibri"/>
          <w:i/>
          <w:sz w:val="22"/>
        </w:rPr>
        <w:t>Den daglige verdivurderingen av fondet (herunder beregningen av verdien per andel) bør hensynta den utsatte skatteforpliktelsen.</w:t>
      </w:r>
    </w:p>
    <w:p w14:paraId="3F26076A" w14:textId="77777777" w:rsidR="009A0F64" w:rsidRPr="008E0887" w:rsidRDefault="009A0F64" w:rsidP="00095D5E">
      <w:pPr>
        <w:rPr>
          <w:rFonts w:ascii="Calibri" w:hAnsi="Calibri" w:cs="Calibri"/>
          <w:sz w:val="22"/>
        </w:rPr>
      </w:pPr>
    </w:p>
    <w:p w14:paraId="30F75369" w14:textId="202CA68C" w:rsidR="00A64C52" w:rsidRDefault="005A3D16" w:rsidP="00095D5E">
      <w:pPr>
        <w:rPr>
          <w:rFonts w:ascii="Calibri" w:hAnsi="Calibri" w:cs="Calibri"/>
          <w:i/>
          <w:color w:val="FF0000"/>
          <w:sz w:val="22"/>
        </w:rPr>
      </w:pPr>
      <w:r w:rsidRPr="008E0887">
        <w:rPr>
          <w:rFonts w:ascii="Calibri" w:hAnsi="Calibri" w:cs="Calibri"/>
          <w:sz w:val="22"/>
        </w:rPr>
        <w:t>Utsatt skatt</w:t>
      </w:r>
      <w:r w:rsidR="00152CD0" w:rsidRPr="008E0887">
        <w:rPr>
          <w:rFonts w:ascii="Calibri" w:hAnsi="Calibri" w:cs="Calibri"/>
          <w:sz w:val="22"/>
        </w:rPr>
        <w:t xml:space="preserve"> på urealisert gevinst skal</w:t>
      </w:r>
      <w:r w:rsidRPr="008E0887">
        <w:rPr>
          <w:rFonts w:ascii="Calibri" w:hAnsi="Calibri" w:cs="Calibri"/>
          <w:sz w:val="22"/>
        </w:rPr>
        <w:t xml:space="preserve"> beregnes netto</w:t>
      </w:r>
      <w:r w:rsidR="006F1895" w:rsidRPr="008E0887">
        <w:rPr>
          <w:rFonts w:ascii="Calibri" w:hAnsi="Calibri" w:cs="Calibri"/>
          <w:sz w:val="22"/>
        </w:rPr>
        <w:t>, det vil si</w:t>
      </w:r>
      <w:r w:rsidRPr="008E0887">
        <w:rPr>
          <w:rFonts w:ascii="Calibri" w:hAnsi="Calibri" w:cs="Calibri"/>
          <w:sz w:val="22"/>
        </w:rPr>
        <w:t xml:space="preserve"> nominell verdi av skatt på urealiserte</w:t>
      </w:r>
      <w:r w:rsidR="009A0F64" w:rsidRPr="008E0887">
        <w:rPr>
          <w:rFonts w:ascii="Calibri" w:hAnsi="Calibri" w:cs="Calibri"/>
          <w:sz w:val="22"/>
        </w:rPr>
        <w:t xml:space="preserve"> skattepliktige</w:t>
      </w:r>
      <w:r w:rsidRPr="008E0887">
        <w:rPr>
          <w:rFonts w:ascii="Calibri" w:hAnsi="Calibri" w:cs="Calibri"/>
          <w:sz w:val="22"/>
        </w:rPr>
        <w:t xml:space="preserve"> gevinster fratrukket nominell verdi av skattefradrag på</w:t>
      </w:r>
      <w:r w:rsidR="009A0F64" w:rsidRPr="008E0887">
        <w:rPr>
          <w:rFonts w:ascii="Calibri" w:hAnsi="Calibri" w:cs="Calibri"/>
          <w:sz w:val="22"/>
        </w:rPr>
        <w:t xml:space="preserve"> skattepliktig</w:t>
      </w:r>
      <w:r w:rsidR="0099024F" w:rsidRPr="008E0887">
        <w:rPr>
          <w:rFonts w:ascii="Calibri" w:hAnsi="Calibri" w:cs="Calibri"/>
          <w:sz w:val="22"/>
        </w:rPr>
        <w:t xml:space="preserve"> </w:t>
      </w:r>
      <w:r w:rsidRPr="008E0887">
        <w:rPr>
          <w:rFonts w:ascii="Calibri" w:hAnsi="Calibri" w:cs="Calibri"/>
          <w:sz w:val="22"/>
        </w:rPr>
        <w:t xml:space="preserve">urealisert tap, beregnet ut fra dagens markedsverdi på de aktuelle finansielle instrumentene. Fradrag for urealisert tap </w:t>
      </w:r>
      <w:r w:rsidR="006F1895" w:rsidRPr="008E0887">
        <w:rPr>
          <w:rFonts w:ascii="Calibri" w:hAnsi="Calibri" w:cs="Calibri"/>
          <w:sz w:val="22"/>
        </w:rPr>
        <w:t>kan kun benyttes for å nette</w:t>
      </w:r>
      <w:r w:rsidR="009A0F64" w:rsidRPr="008E0887">
        <w:rPr>
          <w:rFonts w:ascii="Calibri" w:hAnsi="Calibri" w:cs="Calibri"/>
          <w:sz w:val="22"/>
        </w:rPr>
        <w:t xml:space="preserve"> </w:t>
      </w:r>
      <w:r w:rsidR="006F1895" w:rsidRPr="008E0887">
        <w:rPr>
          <w:rFonts w:ascii="Calibri" w:hAnsi="Calibri" w:cs="Calibri"/>
          <w:sz w:val="22"/>
        </w:rPr>
        <w:t xml:space="preserve">urealiserte gevinster. </w:t>
      </w:r>
      <w:r w:rsidR="009A0F64" w:rsidRPr="008E0887">
        <w:rPr>
          <w:rFonts w:ascii="Calibri" w:hAnsi="Calibri" w:cs="Calibri"/>
          <w:sz w:val="22"/>
        </w:rPr>
        <w:t xml:space="preserve">Det innebærer at </w:t>
      </w:r>
      <w:r w:rsidR="00960EB0" w:rsidRPr="008E0887">
        <w:rPr>
          <w:rFonts w:ascii="Calibri" w:hAnsi="Calibri" w:cs="Calibri"/>
          <w:sz w:val="22"/>
        </w:rPr>
        <w:t>i en sit</w:t>
      </w:r>
      <w:r w:rsidR="00CC2269">
        <w:rPr>
          <w:rFonts w:ascii="Calibri" w:hAnsi="Calibri" w:cs="Calibri"/>
          <w:sz w:val="22"/>
        </w:rPr>
        <w:t>u</w:t>
      </w:r>
      <w:r w:rsidR="00960EB0" w:rsidRPr="008E0887">
        <w:rPr>
          <w:rFonts w:ascii="Calibri" w:hAnsi="Calibri" w:cs="Calibri"/>
          <w:sz w:val="22"/>
        </w:rPr>
        <w:t>asjon med netto utsatt skattefordel skal denne ikke tas inn som en fordring verken i fondets regnskap eller i den</w:t>
      </w:r>
      <w:r w:rsidR="00274FF7" w:rsidRPr="008E0887">
        <w:rPr>
          <w:rFonts w:ascii="Calibri" w:hAnsi="Calibri" w:cs="Calibri"/>
          <w:sz w:val="22"/>
        </w:rPr>
        <w:t xml:space="preserve"> daglige verdivurdering.</w:t>
      </w:r>
      <w:r w:rsidR="002A524F" w:rsidRPr="002A524F">
        <w:rPr>
          <w:rFonts w:ascii="Calibri" w:hAnsi="Calibri" w:cs="Calibri"/>
          <w:i/>
          <w:color w:val="FF0000"/>
          <w:sz w:val="22"/>
        </w:rPr>
        <w:t xml:space="preserve"> </w:t>
      </w:r>
    </w:p>
    <w:p w14:paraId="1B47BE2F" w14:textId="77777777" w:rsidR="00A64C52" w:rsidRDefault="00A64C52" w:rsidP="00095D5E">
      <w:pPr>
        <w:rPr>
          <w:rFonts w:ascii="Calibri" w:hAnsi="Calibri" w:cs="Calibri"/>
          <w:i/>
          <w:color w:val="FF0000"/>
          <w:sz w:val="22"/>
        </w:rPr>
      </w:pPr>
    </w:p>
    <w:p w14:paraId="26F2A817" w14:textId="6BFE1090" w:rsidR="000C4528" w:rsidRDefault="00A64C52" w:rsidP="00095D5E">
      <w:pPr>
        <w:rPr>
          <w:rFonts w:ascii="Calibri" w:hAnsi="Calibri" w:cs="Calibri"/>
          <w:sz w:val="22"/>
        </w:rPr>
      </w:pPr>
      <w:r w:rsidRPr="00511D4A">
        <w:rPr>
          <w:rFonts w:ascii="Calibri" w:hAnsi="Calibri" w:cs="Calibri"/>
          <w:sz w:val="22"/>
        </w:rPr>
        <w:t>Fra denne hovedregelen gjelder følgende unntak</w:t>
      </w:r>
      <w:r w:rsidR="000C4528">
        <w:rPr>
          <w:rFonts w:ascii="Calibri" w:hAnsi="Calibri" w:cs="Calibri"/>
          <w:sz w:val="22"/>
        </w:rPr>
        <w:t xml:space="preserve">: </w:t>
      </w:r>
    </w:p>
    <w:p w14:paraId="7C579FE9" w14:textId="77777777" w:rsidR="000C4528" w:rsidRDefault="000C4528" w:rsidP="00095D5E">
      <w:pPr>
        <w:rPr>
          <w:rFonts w:ascii="Calibri" w:hAnsi="Calibri" w:cs="Calibri"/>
          <w:sz w:val="22"/>
        </w:rPr>
      </w:pPr>
    </w:p>
    <w:p w14:paraId="081898FD" w14:textId="77777777" w:rsidR="002A524F" w:rsidRDefault="002A524F" w:rsidP="00095D5E">
      <w:pPr>
        <w:rPr>
          <w:rFonts w:ascii="Calibri" w:hAnsi="Calibri" w:cs="Calibri"/>
          <w:i/>
          <w:color w:val="FF0000"/>
          <w:sz w:val="22"/>
        </w:rPr>
      </w:pPr>
    </w:p>
    <w:p w14:paraId="46B21465" w14:textId="111C495D" w:rsidR="00CC6949" w:rsidRDefault="00A64C52" w:rsidP="00CC6949">
      <w:pPr>
        <w:numPr>
          <w:ilvl w:val="0"/>
          <w:numId w:val="8"/>
        </w:numPr>
        <w:rPr>
          <w:rFonts w:ascii="Calibri" w:hAnsi="Calibri" w:cs="Calibri"/>
          <w:i/>
          <w:sz w:val="22"/>
        </w:rPr>
      </w:pPr>
      <w:bookmarkStart w:id="2" w:name="_Hlk148713126"/>
      <w:r w:rsidRPr="00A64C52">
        <w:rPr>
          <w:rFonts w:ascii="Calibri" w:hAnsi="Calibri" w:cs="Calibri"/>
          <w:i/>
          <w:sz w:val="22"/>
        </w:rPr>
        <w:t xml:space="preserve">Urealisert tap på </w:t>
      </w:r>
      <w:r w:rsidR="00AA6488">
        <w:rPr>
          <w:rFonts w:ascii="Calibri" w:hAnsi="Calibri" w:cs="Calibri"/>
          <w:i/>
          <w:sz w:val="22"/>
        </w:rPr>
        <w:t xml:space="preserve">finansielle instrumenter </w:t>
      </w:r>
      <w:r w:rsidRPr="00A64C52">
        <w:rPr>
          <w:rFonts w:ascii="Calibri" w:hAnsi="Calibri" w:cs="Calibri"/>
          <w:i/>
          <w:sz w:val="22"/>
        </w:rPr>
        <w:t xml:space="preserve">som realiseres </w:t>
      </w:r>
      <w:r w:rsidR="00AA6488">
        <w:rPr>
          <w:rFonts w:ascii="Calibri" w:hAnsi="Calibri" w:cs="Calibri"/>
          <w:i/>
          <w:sz w:val="22"/>
        </w:rPr>
        <w:t xml:space="preserve">ved forfall </w:t>
      </w:r>
      <w:r w:rsidRPr="00A64C52">
        <w:rPr>
          <w:rFonts w:ascii="Calibri" w:hAnsi="Calibri" w:cs="Calibri"/>
          <w:i/>
          <w:sz w:val="22"/>
        </w:rPr>
        <w:t xml:space="preserve">i inneværende regnskapsår vil redusere betalbar skatt. I slike situasjoner bør utsatt skattefordel </w:t>
      </w:r>
      <w:r>
        <w:rPr>
          <w:rFonts w:ascii="Calibri" w:hAnsi="Calibri" w:cs="Calibri"/>
          <w:i/>
          <w:sz w:val="22"/>
        </w:rPr>
        <w:t xml:space="preserve">maksimalt </w:t>
      </w:r>
      <w:r w:rsidRPr="00A64C52">
        <w:rPr>
          <w:rFonts w:ascii="Calibri" w:hAnsi="Calibri" w:cs="Calibri"/>
          <w:i/>
          <w:sz w:val="22"/>
        </w:rPr>
        <w:t>verdsettes til betalbar skatt på vurderingstidspunktet.</w:t>
      </w:r>
      <w:r w:rsidR="00AA6488">
        <w:rPr>
          <w:rFonts w:ascii="Calibri" w:hAnsi="Calibri" w:cs="Calibri"/>
          <w:i/>
          <w:sz w:val="22"/>
        </w:rPr>
        <w:t xml:space="preserve"> </w:t>
      </w:r>
      <w:r w:rsidR="00321E90">
        <w:rPr>
          <w:rFonts w:ascii="Calibri" w:hAnsi="Calibri" w:cs="Calibri"/>
          <w:i/>
          <w:sz w:val="22"/>
        </w:rPr>
        <w:t xml:space="preserve">Eksempler på slike finansielle instrumenter vil typisk kunne være derivater, herunder </w:t>
      </w:r>
      <w:r w:rsidR="00892DFE">
        <w:rPr>
          <w:rFonts w:ascii="Calibri" w:hAnsi="Calibri" w:cs="Calibri"/>
          <w:i/>
          <w:sz w:val="22"/>
        </w:rPr>
        <w:t>valuta</w:t>
      </w:r>
      <w:r w:rsidR="00321E90">
        <w:rPr>
          <w:rFonts w:ascii="Calibri" w:hAnsi="Calibri" w:cs="Calibri"/>
          <w:i/>
          <w:sz w:val="22"/>
        </w:rPr>
        <w:t xml:space="preserve">terminer og rentepapirer som går til forfall i inneværende regnskapsår.  </w:t>
      </w:r>
    </w:p>
    <w:bookmarkEnd w:id="2"/>
    <w:p w14:paraId="6B77DB4E" w14:textId="1611B927" w:rsidR="000C4528" w:rsidRDefault="000C4528" w:rsidP="000C4528">
      <w:pPr>
        <w:rPr>
          <w:rFonts w:ascii="Calibri" w:hAnsi="Calibri" w:cs="Calibri"/>
          <w:i/>
          <w:sz w:val="22"/>
        </w:rPr>
      </w:pPr>
    </w:p>
    <w:p w14:paraId="6A7C7255" w14:textId="77777777" w:rsidR="00CB5D7C" w:rsidRPr="008E0887" w:rsidRDefault="00CB5D7C" w:rsidP="00095D5E">
      <w:pPr>
        <w:rPr>
          <w:rFonts w:ascii="Calibri" w:hAnsi="Calibri" w:cs="Calibri"/>
          <w:sz w:val="22"/>
        </w:rPr>
      </w:pPr>
    </w:p>
    <w:sectPr w:rsidR="00CB5D7C" w:rsidRPr="008E0887" w:rsidSect="005E29EF">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8924B" w14:textId="77777777" w:rsidR="004E5A80" w:rsidRDefault="004E5A80">
      <w:r>
        <w:separator/>
      </w:r>
    </w:p>
  </w:endnote>
  <w:endnote w:type="continuationSeparator" w:id="0">
    <w:p w14:paraId="44C2665C" w14:textId="77777777" w:rsidR="004E5A80" w:rsidRDefault="004E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0B56" w14:textId="77777777" w:rsidR="0014705C" w:rsidRDefault="0014705C" w:rsidP="006A5254">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2</w:t>
    </w:r>
    <w:r>
      <w:rPr>
        <w:rStyle w:val="Sidetall"/>
      </w:rPr>
      <w:fldChar w:fldCharType="end"/>
    </w:r>
  </w:p>
  <w:p w14:paraId="1E0AE8E4" w14:textId="77777777" w:rsidR="0014705C" w:rsidRDefault="0014705C" w:rsidP="006A5254">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F4DA" w14:textId="77777777" w:rsidR="00CD0549" w:rsidRPr="005E29EF" w:rsidRDefault="00CD0549" w:rsidP="00CD0549">
    <w:pPr>
      <w:tabs>
        <w:tab w:val="center" w:pos="4536"/>
        <w:tab w:val="right" w:pos="9072"/>
      </w:tabs>
      <w:jc w:val="right"/>
      <w:rPr>
        <w:rFonts w:ascii="Calibri" w:eastAsia="Calibri" w:hAnsi="Calibri"/>
        <w:sz w:val="22"/>
        <w:szCs w:val="22"/>
        <w:lang w:eastAsia="en-US"/>
      </w:rPr>
    </w:pPr>
  </w:p>
  <w:p w14:paraId="732C1327" w14:textId="77777777" w:rsidR="003A483E" w:rsidRDefault="003A483E" w:rsidP="003A483E">
    <w:pPr>
      <w:pStyle w:val="Bunntekst"/>
      <w:framePr w:wrap="around" w:vAnchor="text" w:hAnchor="page" w:x="10382" w:y="188"/>
      <w:rPr>
        <w:rStyle w:val="Sidetall"/>
      </w:rPr>
    </w:pPr>
    <w:r>
      <w:rPr>
        <w:rStyle w:val="Sidetall"/>
      </w:rPr>
      <w:fldChar w:fldCharType="begin"/>
    </w:r>
    <w:r>
      <w:rPr>
        <w:rStyle w:val="Sidetall"/>
      </w:rPr>
      <w:instrText xml:space="preserve">PAGE  </w:instrText>
    </w:r>
    <w:r>
      <w:rPr>
        <w:rStyle w:val="Sidetall"/>
      </w:rPr>
      <w:fldChar w:fldCharType="separate"/>
    </w:r>
    <w:r w:rsidR="00511D4A">
      <w:rPr>
        <w:rStyle w:val="Sidetall"/>
        <w:noProof/>
      </w:rPr>
      <w:t>2</w:t>
    </w:r>
    <w:r>
      <w:rPr>
        <w:rStyle w:val="Sidetall"/>
      </w:rPr>
      <w:fldChar w:fldCharType="end"/>
    </w:r>
  </w:p>
  <w:p w14:paraId="7CE7B5B3" w14:textId="77777777" w:rsidR="00CD0549" w:rsidRPr="005E29EF" w:rsidRDefault="003547B2" w:rsidP="00CD0549">
    <w:pPr>
      <w:tabs>
        <w:tab w:val="center" w:pos="4536"/>
        <w:tab w:val="right" w:pos="9072"/>
      </w:tabs>
      <w:jc w:val="center"/>
      <w:rPr>
        <w:rFonts w:ascii="Calibri" w:eastAsia="Calibri" w:hAnsi="Calibri"/>
        <w:sz w:val="22"/>
        <w:szCs w:val="22"/>
        <w:lang w:eastAsia="en-US"/>
      </w:rPr>
    </w:pPr>
    <w:r>
      <w:rPr>
        <w:noProof/>
      </w:rPr>
      <mc:AlternateContent>
        <mc:Choice Requires="wps">
          <w:drawing>
            <wp:anchor distT="91440" distB="91440" distL="114300" distR="114300" simplePos="0" relativeHeight="251658240" behindDoc="1" locked="0" layoutInCell="1" allowOverlap="1" wp14:anchorId="46FF9F93" wp14:editId="57999D59">
              <wp:simplePos x="0" y="0"/>
              <wp:positionH relativeFrom="page">
                <wp:posOffset>919480</wp:posOffset>
              </wp:positionH>
              <wp:positionV relativeFrom="page">
                <wp:posOffset>9791700</wp:posOffset>
              </wp:positionV>
              <wp:extent cx="5759450" cy="36195"/>
              <wp:effectExtent l="0" t="0" r="0" b="0"/>
              <wp:wrapSquare wrapText="bothSides"/>
              <wp:docPr id="3"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9450"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w14:anchorId="144E2A30" id="Rektangel 2" o:spid="_x0000_s1026" style="position:absolute;margin-left:72.4pt;margin-top:771pt;width:453.5pt;height:2.85pt;z-index:-251658240;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" fillcolor="#4f81bd" stroked="f" strokeweight="2pt">
              <w10:wrap type="square" anchorx="page" anchory="page"/>
            </v:rect>
          </w:pict>
        </mc:Fallback>
      </mc:AlternateContent>
    </w:r>
  </w:p>
  <w:p w14:paraId="6032A204" w14:textId="77777777" w:rsidR="00CD0549" w:rsidRPr="002B25F5" w:rsidRDefault="00CD0549" w:rsidP="003A483E">
    <w:pPr>
      <w:tabs>
        <w:tab w:val="left" w:pos="3456"/>
      </w:tabs>
      <w:rPr>
        <w:rFonts w:ascii="Calibri" w:eastAsia="Calibri" w:hAnsi="Calibri" w:cs="Calibri"/>
        <w:color w:val="000000"/>
        <w:sz w:val="18"/>
        <w:lang w:eastAsia="en-US"/>
      </w:rPr>
    </w:pPr>
    <w:r w:rsidRPr="002B25F5">
      <w:rPr>
        <w:rFonts w:ascii="Calibri" w:eastAsia="Calibri" w:hAnsi="Calibri" w:cs="Calibri"/>
        <w:sz w:val="18"/>
        <w:lang w:eastAsia="en-US"/>
      </w:rPr>
      <w:t xml:space="preserve">Verdipapirfondenes forening - </w:t>
    </w:r>
    <w:hyperlink r:id="rId1" w:history="1">
      <w:r w:rsidR="003A483E" w:rsidRPr="008312B7">
        <w:rPr>
          <w:rStyle w:val="Hyperkobling"/>
          <w:rFonts w:ascii="Calibri" w:eastAsia="Calibri" w:hAnsi="Calibri" w:cs="Calibri"/>
          <w:sz w:val="18"/>
          <w:lang w:eastAsia="en-US"/>
        </w:rPr>
        <w:t>www.vff.no</w:t>
      </w:r>
    </w:hyperlink>
    <w:r w:rsidR="003A483E">
      <w:rPr>
        <w:rFonts w:ascii="Calibri" w:eastAsia="Calibri" w:hAnsi="Calibri" w:cs="Calibri"/>
        <w:sz w:val="18"/>
        <w:lang w:eastAsia="en-US"/>
      </w:rPr>
      <w:t xml:space="preserve"> </w:t>
    </w:r>
    <w:r w:rsidR="003A483E">
      <w:rPr>
        <w:rFonts w:ascii="Calibri" w:eastAsia="Calibri" w:hAnsi="Calibri" w:cs="Calibri"/>
        <w:sz w:val="18"/>
        <w:lang w:eastAsia="en-US"/>
      </w:rPr>
      <w:tab/>
      <w:t xml:space="preserve"> </w:t>
    </w:r>
  </w:p>
  <w:p w14:paraId="117E5563" w14:textId="77777777" w:rsidR="0014705C" w:rsidRDefault="0014705C" w:rsidP="00CD0549">
    <w:pPr>
      <w:pStyle w:val="Bunn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571C7" w14:textId="77777777" w:rsidR="0014705C" w:rsidRPr="005E29EF" w:rsidRDefault="0014705C" w:rsidP="005E29EF">
    <w:pPr>
      <w:tabs>
        <w:tab w:val="center" w:pos="4536"/>
        <w:tab w:val="right" w:pos="9072"/>
      </w:tabs>
      <w:jc w:val="right"/>
      <w:rPr>
        <w:rFonts w:ascii="Calibri" w:eastAsia="Calibri" w:hAnsi="Calibri"/>
        <w:sz w:val="22"/>
        <w:szCs w:val="22"/>
        <w:lang w:eastAsia="en-US"/>
      </w:rPr>
    </w:pPr>
  </w:p>
  <w:p w14:paraId="6F2AD168" w14:textId="77777777" w:rsidR="0014705C" w:rsidRPr="005E29EF" w:rsidRDefault="003547B2" w:rsidP="005E29EF">
    <w:pPr>
      <w:tabs>
        <w:tab w:val="center" w:pos="4536"/>
        <w:tab w:val="right" w:pos="9072"/>
      </w:tabs>
      <w:jc w:val="center"/>
      <w:rPr>
        <w:rFonts w:ascii="Calibri" w:eastAsia="Calibri" w:hAnsi="Calibri"/>
        <w:sz w:val="22"/>
        <w:szCs w:val="22"/>
        <w:lang w:eastAsia="en-US"/>
      </w:rPr>
    </w:pPr>
    <w:r>
      <w:rPr>
        <w:noProof/>
      </w:rPr>
      <mc:AlternateContent>
        <mc:Choice Requires="wps">
          <w:drawing>
            <wp:anchor distT="91440" distB="91440" distL="114300" distR="114300" simplePos="0" relativeHeight="251657216" behindDoc="1" locked="0" layoutInCell="1" allowOverlap="1" wp14:anchorId="2C2B0E28" wp14:editId="0ACAF15F">
              <wp:simplePos x="0" y="0"/>
              <wp:positionH relativeFrom="page">
                <wp:posOffset>919480</wp:posOffset>
              </wp:positionH>
              <wp:positionV relativeFrom="page">
                <wp:posOffset>9791700</wp:posOffset>
              </wp:positionV>
              <wp:extent cx="5759450" cy="36195"/>
              <wp:effectExtent l="0" t="0" r="0" b="0"/>
              <wp:wrapSquare wrapText="bothSides"/>
              <wp:docPr id="2"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9450"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w14:anchorId="110B8D09" id="Rektangel 2" o:spid="_x0000_s1026" style="position:absolute;margin-left:72.4pt;margin-top:771pt;width:453.5pt;height:2.85pt;z-index:-251659264;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" fillcolor="#4f81bd" stroked="f" strokeweight="2pt">
              <w10:wrap type="square" anchorx="page" anchory="page"/>
            </v:rect>
          </w:pict>
        </mc:Fallback>
      </mc:AlternateContent>
    </w:r>
  </w:p>
  <w:p w14:paraId="58B0751F" w14:textId="77777777" w:rsidR="0014705C" w:rsidRPr="002B25F5" w:rsidRDefault="0014705C" w:rsidP="005E29EF">
    <w:pPr>
      <w:tabs>
        <w:tab w:val="center" w:pos="4536"/>
        <w:tab w:val="right" w:pos="9072"/>
      </w:tabs>
      <w:rPr>
        <w:rFonts w:ascii="Calibri" w:eastAsia="Calibri" w:hAnsi="Calibri" w:cs="Calibri"/>
        <w:color w:val="000000"/>
        <w:sz w:val="18"/>
        <w:lang w:eastAsia="en-US"/>
      </w:rPr>
    </w:pPr>
    <w:r w:rsidRPr="002B25F5">
      <w:rPr>
        <w:rFonts w:ascii="Calibri" w:eastAsia="Calibri" w:hAnsi="Calibri" w:cs="Calibri"/>
        <w:sz w:val="18"/>
        <w:lang w:eastAsia="en-US"/>
      </w:rPr>
      <w:t xml:space="preserve">Verdipapirfondenes forening - </w:t>
    </w:r>
    <w:hyperlink r:id="rId1" w:history="1">
      <w:r w:rsidR="003A483E" w:rsidRPr="008312B7">
        <w:rPr>
          <w:rStyle w:val="Hyperkobling"/>
          <w:rFonts w:ascii="Calibri" w:eastAsia="Calibri" w:hAnsi="Calibri" w:cs="Calibri"/>
          <w:sz w:val="18"/>
          <w:lang w:eastAsia="en-US"/>
        </w:rPr>
        <w:t>www.vff.no</w:t>
      </w:r>
    </w:hyperlink>
    <w:r w:rsidR="003A483E">
      <w:rPr>
        <w:rFonts w:ascii="Calibri" w:eastAsia="Calibri" w:hAnsi="Calibri" w:cs="Calibri"/>
        <w:sz w:val="18"/>
        <w:lang w:eastAsia="en-US"/>
      </w:rPr>
      <w:t xml:space="preserve"> </w:t>
    </w:r>
  </w:p>
  <w:p w14:paraId="048A074C" w14:textId="77777777" w:rsidR="0014705C" w:rsidRDefault="0014705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93F53" w14:textId="77777777" w:rsidR="004E5A80" w:rsidRDefault="004E5A80">
      <w:r>
        <w:separator/>
      </w:r>
    </w:p>
  </w:footnote>
  <w:footnote w:type="continuationSeparator" w:id="0">
    <w:p w14:paraId="5B079BAC" w14:textId="77777777" w:rsidR="004E5A80" w:rsidRDefault="004E5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B40DE" w14:textId="77777777" w:rsidR="00C6656A" w:rsidRDefault="00C6656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1A68E" w14:textId="77777777" w:rsidR="00C6656A" w:rsidRDefault="00C6656A">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947F3" w14:textId="77777777" w:rsidR="0014705C" w:rsidRPr="009B50E9" w:rsidRDefault="003547B2" w:rsidP="00F91EC7">
    <w:pPr>
      <w:pStyle w:val="Topptekst"/>
      <w:rPr>
        <w:sz w:val="18"/>
        <w:szCs w:val="18"/>
      </w:rPr>
    </w:pPr>
    <w:r w:rsidRPr="00FA585B">
      <w:rPr>
        <w:noProof/>
      </w:rPr>
      <w:drawing>
        <wp:inline distT="0" distB="0" distL="0" distR="0" wp14:anchorId="3B363C18" wp14:editId="2AAC399D">
          <wp:extent cx="5764530" cy="636270"/>
          <wp:effectExtent l="0" t="0" r="0" b="0"/>
          <wp:docPr id="1" name="Bilde 4" descr="\\vffsrv01\data\Arkiv\5 Kommunikasjon\Logo VFF\NY LOGO(Netlife)\Logo VFF farge_s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vffsrv01\data\Arkiv\5 Kommunikasjon\Logo VFF\NY LOGO(Netlife)\Logo VFF farge_st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6362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25634"/>
    <w:multiLevelType w:val="hybridMultilevel"/>
    <w:tmpl w:val="AE30F278"/>
    <w:lvl w:ilvl="0" w:tplc="4CDE3BBE">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15:restartNumberingAfterBreak="0">
    <w:nsid w:val="1D5A3491"/>
    <w:multiLevelType w:val="hybridMultilevel"/>
    <w:tmpl w:val="A29EFE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A226DBA"/>
    <w:multiLevelType w:val="singleLevel"/>
    <w:tmpl w:val="0414000F"/>
    <w:lvl w:ilvl="0">
      <w:start w:val="1"/>
      <w:numFmt w:val="decimal"/>
      <w:lvlText w:val="%1."/>
      <w:lvlJc w:val="left"/>
      <w:pPr>
        <w:tabs>
          <w:tab w:val="num" w:pos="720"/>
        </w:tabs>
        <w:ind w:left="720" w:hanging="360"/>
      </w:pPr>
    </w:lvl>
  </w:abstractNum>
  <w:abstractNum w:abstractNumId="3" w15:restartNumberingAfterBreak="0">
    <w:nsid w:val="3B81113B"/>
    <w:multiLevelType w:val="hybridMultilevel"/>
    <w:tmpl w:val="BE2632F4"/>
    <w:lvl w:ilvl="0" w:tplc="6592ECC0">
      <w:start w:val="1"/>
      <w:numFmt w:val="lowerRoman"/>
      <w:lvlText w:val="%1)"/>
      <w:lvlJc w:val="left"/>
      <w:pPr>
        <w:tabs>
          <w:tab w:val="num" w:pos="180"/>
        </w:tabs>
        <w:ind w:left="180" w:hanging="180"/>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4" w15:restartNumberingAfterBreak="0">
    <w:nsid w:val="3BC70CC4"/>
    <w:multiLevelType w:val="hybridMultilevel"/>
    <w:tmpl w:val="00CC050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446763F4"/>
    <w:multiLevelType w:val="hybridMultilevel"/>
    <w:tmpl w:val="BDB2C5B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4BB0649E"/>
    <w:multiLevelType w:val="hybridMultilevel"/>
    <w:tmpl w:val="7F684468"/>
    <w:lvl w:ilvl="0" w:tplc="04140001">
      <w:start w:val="1"/>
      <w:numFmt w:val="bullet"/>
      <w:lvlText w:val=""/>
      <w:lvlJc w:val="left"/>
      <w:pPr>
        <w:tabs>
          <w:tab w:val="num" w:pos="168"/>
        </w:tabs>
        <w:ind w:left="168" w:hanging="360"/>
      </w:pPr>
      <w:rPr>
        <w:rFonts w:ascii="Symbol" w:hAnsi="Symbol" w:hint="default"/>
      </w:rPr>
    </w:lvl>
    <w:lvl w:ilvl="1" w:tplc="04140003" w:tentative="1">
      <w:start w:val="1"/>
      <w:numFmt w:val="bullet"/>
      <w:lvlText w:val="o"/>
      <w:lvlJc w:val="left"/>
      <w:pPr>
        <w:tabs>
          <w:tab w:val="num" w:pos="888"/>
        </w:tabs>
        <w:ind w:left="888" w:hanging="360"/>
      </w:pPr>
      <w:rPr>
        <w:rFonts w:ascii="Courier New" w:hAnsi="Courier New" w:cs="Courier New" w:hint="default"/>
      </w:rPr>
    </w:lvl>
    <w:lvl w:ilvl="2" w:tplc="04140005" w:tentative="1">
      <w:start w:val="1"/>
      <w:numFmt w:val="bullet"/>
      <w:lvlText w:val=""/>
      <w:lvlJc w:val="left"/>
      <w:pPr>
        <w:tabs>
          <w:tab w:val="num" w:pos="1608"/>
        </w:tabs>
        <w:ind w:left="1608" w:hanging="360"/>
      </w:pPr>
      <w:rPr>
        <w:rFonts w:ascii="Wingdings" w:hAnsi="Wingdings" w:hint="default"/>
      </w:rPr>
    </w:lvl>
    <w:lvl w:ilvl="3" w:tplc="04140001" w:tentative="1">
      <w:start w:val="1"/>
      <w:numFmt w:val="bullet"/>
      <w:lvlText w:val=""/>
      <w:lvlJc w:val="left"/>
      <w:pPr>
        <w:tabs>
          <w:tab w:val="num" w:pos="2328"/>
        </w:tabs>
        <w:ind w:left="2328" w:hanging="360"/>
      </w:pPr>
      <w:rPr>
        <w:rFonts w:ascii="Symbol" w:hAnsi="Symbol" w:hint="default"/>
      </w:rPr>
    </w:lvl>
    <w:lvl w:ilvl="4" w:tplc="04140003" w:tentative="1">
      <w:start w:val="1"/>
      <w:numFmt w:val="bullet"/>
      <w:lvlText w:val="o"/>
      <w:lvlJc w:val="left"/>
      <w:pPr>
        <w:tabs>
          <w:tab w:val="num" w:pos="3048"/>
        </w:tabs>
        <w:ind w:left="3048" w:hanging="360"/>
      </w:pPr>
      <w:rPr>
        <w:rFonts w:ascii="Courier New" w:hAnsi="Courier New" w:cs="Courier New" w:hint="default"/>
      </w:rPr>
    </w:lvl>
    <w:lvl w:ilvl="5" w:tplc="04140005" w:tentative="1">
      <w:start w:val="1"/>
      <w:numFmt w:val="bullet"/>
      <w:lvlText w:val=""/>
      <w:lvlJc w:val="left"/>
      <w:pPr>
        <w:tabs>
          <w:tab w:val="num" w:pos="3768"/>
        </w:tabs>
        <w:ind w:left="3768" w:hanging="360"/>
      </w:pPr>
      <w:rPr>
        <w:rFonts w:ascii="Wingdings" w:hAnsi="Wingdings" w:hint="default"/>
      </w:rPr>
    </w:lvl>
    <w:lvl w:ilvl="6" w:tplc="04140001" w:tentative="1">
      <w:start w:val="1"/>
      <w:numFmt w:val="bullet"/>
      <w:lvlText w:val=""/>
      <w:lvlJc w:val="left"/>
      <w:pPr>
        <w:tabs>
          <w:tab w:val="num" w:pos="4488"/>
        </w:tabs>
        <w:ind w:left="4488" w:hanging="360"/>
      </w:pPr>
      <w:rPr>
        <w:rFonts w:ascii="Symbol" w:hAnsi="Symbol" w:hint="default"/>
      </w:rPr>
    </w:lvl>
    <w:lvl w:ilvl="7" w:tplc="04140003" w:tentative="1">
      <w:start w:val="1"/>
      <w:numFmt w:val="bullet"/>
      <w:lvlText w:val="o"/>
      <w:lvlJc w:val="left"/>
      <w:pPr>
        <w:tabs>
          <w:tab w:val="num" w:pos="5208"/>
        </w:tabs>
        <w:ind w:left="5208" w:hanging="360"/>
      </w:pPr>
      <w:rPr>
        <w:rFonts w:ascii="Courier New" w:hAnsi="Courier New" w:cs="Courier New" w:hint="default"/>
      </w:rPr>
    </w:lvl>
    <w:lvl w:ilvl="8" w:tplc="04140005" w:tentative="1">
      <w:start w:val="1"/>
      <w:numFmt w:val="bullet"/>
      <w:lvlText w:val=""/>
      <w:lvlJc w:val="left"/>
      <w:pPr>
        <w:tabs>
          <w:tab w:val="num" w:pos="5928"/>
        </w:tabs>
        <w:ind w:left="5928" w:hanging="360"/>
      </w:pPr>
      <w:rPr>
        <w:rFonts w:ascii="Wingdings" w:hAnsi="Wingdings" w:hint="default"/>
      </w:rPr>
    </w:lvl>
  </w:abstractNum>
  <w:abstractNum w:abstractNumId="7" w15:restartNumberingAfterBreak="0">
    <w:nsid w:val="5F2E40A6"/>
    <w:multiLevelType w:val="hybridMultilevel"/>
    <w:tmpl w:val="7F265628"/>
    <w:lvl w:ilvl="0" w:tplc="DD520C1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9832341"/>
    <w:multiLevelType w:val="hybridMultilevel"/>
    <w:tmpl w:val="76CE3DD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1352030786">
    <w:abstractNumId w:val="2"/>
  </w:num>
  <w:num w:numId="2" w16cid:durableId="2092003796">
    <w:abstractNumId w:val="3"/>
  </w:num>
  <w:num w:numId="3" w16cid:durableId="983050831">
    <w:abstractNumId w:val="6"/>
  </w:num>
  <w:num w:numId="4" w16cid:durableId="811213553">
    <w:abstractNumId w:val="0"/>
  </w:num>
  <w:num w:numId="5" w16cid:durableId="952637306">
    <w:abstractNumId w:val="1"/>
  </w:num>
  <w:num w:numId="6" w16cid:durableId="1893495055">
    <w:abstractNumId w:val="5"/>
  </w:num>
  <w:num w:numId="7" w16cid:durableId="156922477">
    <w:abstractNumId w:val="4"/>
  </w:num>
  <w:num w:numId="8" w16cid:durableId="1807159712">
    <w:abstractNumId w:val="8"/>
  </w:num>
  <w:num w:numId="9" w16cid:durableId="16428826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216"/>
    <w:rsid w:val="000057D4"/>
    <w:rsid w:val="00033A27"/>
    <w:rsid w:val="0004129D"/>
    <w:rsid w:val="00045010"/>
    <w:rsid w:val="00060FBD"/>
    <w:rsid w:val="0008155D"/>
    <w:rsid w:val="000863B7"/>
    <w:rsid w:val="00095D5E"/>
    <w:rsid w:val="000A0C9A"/>
    <w:rsid w:val="000A57DB"/>
    <w:rsid w:val="000B31F8"/>
    <w:rsid w:val="000C449A"/>
    <w:rsid w:val="000C4528"/>
    <w:rsid w:val="000D76CE"/>
    <w:rsid w:val="000F349A"/>
    <w:rsid w:val="00122554"/>
    <w:rsid w:val="00134ACB"/>
    <w:rsid w:val="0014705C"/>
    <w:rsid w:val="00152CD0"/>
    <w:rsid w:val="00153FB4"/>
    <w:rsid w:val="00196B9F"/>
    <w:rsid w:val="001975A1"/>
    <w:rsid w:val="001C3370"/>
    <w:rsid w:val="001E2BDB"/>
    <w:rsid w:val="001E2D3E"/>
    <w:rsid w:val="001F548D"/>
    <w:rsid w:val="00200450"/>
    <w:rsid w:val="00202A94"/>
    <w:rsid w:val="00207580"/>
    <w:rsid w:val="0021482D"/>
    <w:rsid w:val="00222F2B"/>
    <w:rsid w:val="00255259"/>
    <w:rsid w:val="00274FF7"/>
    <w:rsid w:val="002A0887"/>
    <w:rsid w:val="002A524F"/>
    <w:rsid w:val="002A7BD2"/>
    <w:rsid w:val="002B25F5"/>
    <w:rsid w:val="002B30E0"/>
    <w:rsid w:val="002C479A"/>
    <w:rsid w:val="002D42AA"/>
    <w:rsid w:val="00321E90"/>
    <w:rsid w:val="0033196C"/>
    <w:rsid w:val="003470C6"/>
    <w:rsid w:val="003503FC"/>
    <w:rsid w:val="003547B2"/>
    <w:rsid w:val="00365DFA"/>
    <w:rsid w:val="00370BFA"/>
    <w:rsid w:val="00382C14"/>
    <w:rsid w:val="003A483E"/>
    <w:rsid w:val="00413455"/>
    <w:rsid w:val="004403B0"/>
    <w:rsid w:val="00452B19"/>
    <w:rsid w:val="0048198E"/>
    <w:rsid w:val="0049414B"/>
    <w:rsid w:val="004C04D6"/>
    <w:rsid w:val="004C0AE0"/>
    <w:rsid w:val="004C0BCE"/>
    <w:rsid w:val="004E0DED"/>
    <w:rsid w:val="004E32C3"/>
    <w:rsid w:val="004E5A80"/>
    <w:rsid w:val="004E64A5"/>
    <w:rsid w:val="004E68B7"/>
    <w:rsid w:val="00511D4A"/>
    <w:rsid w:val="00514726"/>
    <w:rsid w:val="0052696A"/>
    <w:rsid w:val="0053555D"/>
    <w:rsid w:val="005467FF"/>
    <w:rsid w:val="00590748"/>
    <w:rsid w:val="00595BBD"/>
    <w:rsid w:val="005A3D16"/>
    <w:rsid w:val="005B0127"/>
    <w:rsid w:val="005E136E"/>
    <w:rsid w:val="005E29EF"/>
    <w:rsid w:val="005E4562"/>
    <w:rsid w:val="00607216"/>
    <w:rsid w:val="006304D3"/>
    <w:rsid w:val="00640377"/>
    <w:rsid w:val="00687CEA"/>
    <w:rsid w:val="006959EB"/>
    <w:rsid w:val="006A5254"/>
    <w:rsid w:val="006D1531"/>
    <w:rsid w:val="006D230C"/>
    <w:rsid w:val="006D27E6"/>
    <w:rsid w:val="006E07E7"/>
    <w:rsid w:val="006E4D99"/>
    <w:rsid w:val="006F1895"/>
    <w:rsid w:val="006F7D2F"/>
    <w:rsid w:val="007051D8"/>
    <w:rsid w:val="007052FE"/>
    <w:rsid w:val="00740E51"/>
    <w:rsid w:val="0077117C"/>
    <w:rsid w:val="00774483"/>
    <w:rsid w:val="007747F9"/>
    <w:rsid w:val="00776955"/>
    <w:rsid w:val="0078607C"/>
    <w:rsid w:val="007B2E7A"/>
    <w:rsid w:val="007C2771"/>
    <w:rsid w:val="007C57CB"/>
    <w:rsid w:val="007D1E96"/>
    <w:rsid w:val="007D50F9"/>
    <w:rsid w:val="007F4066"/>
    <w:rsid w:val="008334C3"/>
    <w:rsid w:val="00860D5C"/>
    <w:rsid w:val="008925E9"/>
    <w:rsid w:val="00892DFE"/>
    <w:rsid w:val="008B2960"/>
    <w:rsid w:val="008D0D86"/>
    <w:rsid w:val="008E0887"/>
    <w:rsid w:val="008E48CA"/>
    <w:rsid w:val="008F3376"/>
    <w:rsid w:val="00913F8D"/>
    <w:rsid w:val="00930BA4"/>
    <w:rsid w:val="00957567"/>
    <w:rsid w:val="00960EB0"/>
    <w:rsid w:val="0097026A"/>
    <w:rsid w:val="00975081"/>
    <w:rsid w:val="00977F03"/>
    <w:rsid w:val="0099024F"/>
    <w:rsid w:val="009A0F64"/>
    <w:rsid w:val="009A755F"/>
    <w:rsid w:val="009B50E9"/>
    <w:rsid w:val="009F65C1"/>
    <w:rsid w:val="00A2377B"/>
    <w:rsid w:val="00A27BE7"/>
    <w:rsid w:val="00A41534"/>
    <w:rsid w:val="00A535FF"/>
    <w:rsid w:val="00A64C52"/>
    <w:rsid w:val="00A747C9"/>
    <w:rsid w:val="00A83EE6"/>
    <w:rsid w:val="00A94F09"/>
    <w:rsid w:val="00AA6488"/>
    <w:rsid w:val="00AE1D63"/>
    <w:rsid w:val="00AE7B95"/>
    <w:rsid w:val="00B15F21"/>
    <w:rsid w:val="00B16D5E"/>
    <w:rsid w:val="00B216A1"/>
    <w:rsid w:val="00B44417"/>
    <w:rsid w:val="00B45D22"/>
    <w:rsid w:val="00B56985"/>
    <w:rsid w:val="00B75E41"/>
    <w:rsid w:val="00B82B63"/>
    <w:rsid w:val="00B90AA2"/>
    <w:rsid w:val="00B922AD"/>
    <w:rsid w:val="00B92810"/>
    <w:rsid w:val="00B95358"/>
    <w:rsid w:val="00BA2F4E"/>
    <w:rsid w:val="00BC0B64"/>
    <w:rsid w:val="00BD45C6"/>
    <w:rsid w:val="00BE24A5"/>
    <w:rsid w:val="00C01AE6"/>
    <w:rsid w:val="00C14623"/>
    <w:rsid w:val="00C169EC"/>
    <w:rsid w:val="00C22E01"/>
    <w:rsid w:val="00C626A6"/>
    <w:rsid w:val="00C6656A"/>
    <w:rsid w:val="00C74473"/>
    <w:rsid w:val="00CB5D7C"/>
    <w:rsid w:val="00CC2269"/>
    <w:rsid w:val="00CC6949"/>
    <w:rsid w:val="00CD0549"/>
    <w:rsid w:val="00CE31F2"/>
    <w:rsid w:val="00CF5DAB"/>
    <w:rsid w:val="00D00A05"/>
    <w:rsid w:val="00D26818"/>
    <w:rsid w:val="00D37B13"/>
    <w:rsid w:val="00D45074"/>
    <w:rsid w:val="00D55B85"/>
    <w:rsid w:val="00D965FD"/>
    <w:rsid w:val="00DE2E50"/>
    <w:rsid w:val="00DE30B1"/>
    <w:rsid w:val="00DE6089"/>
    <w:rsid w:val="00E01F16"/>
    <w:rsid w:val="00E34E0B"/>
    <w:rsid w:val="00E52556"/>
    <w:rsid w:val="00E7375C"/>
    <w:rsid w:val="00E845E0"/>
    <w:rsid w:val="00EC75D0"/>
    <w:rsid w:val="00ED1577"/>
    <w:rsid w:val="00F23597"/>
    <w:rsid w:val="00F3327A"/>
    <w:rsid w:val="00F33A6D"/>
    <w:rsid w:val="00F575BF"/>
    <w:rsid w:val="00F8638C"/>
    <w:rsid w:val="00F872EC"/>
    <w:rsid w:val="00F91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0076418"/>
  <w15:chartTrackingRefBased/>
  <w15:docId w15:val="{A0600085-5469-48EC-A5AE-7311AC17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254"/>
    <w:rPr>
      <w:sz w:val="24"/>
      <w:lang w:val="nb-NO" w:eastAsia="nb-NO"/>
    </w:rPr>
  </w:style>
  <w:style w:type="paragraph" w:styleId="Overskrift1">
    <w:name w:val="heading 1"/>
    <w:basedOn w:val="Normal"/>
    <w:next w:val="Normal"/>
    <w:qFormat/>
    <w:rsid w:val="006A5254"/>
    <w:pPr>
      <w:keepNext/>
      <w:outlineLvl w:val="0"/>
    </w:pPr>
    <w:rPr>
      <w:b/>
    </w:rPr>
  </w:style>
  <w:style w:type="paragraph" w:styleId="Overskrift2">
    <w:name w:val="heading 2"/>
    <w:basedOn w:val="Normal"/>
    <w:next w:val="Normal"/>
    <w:qFormat/>
    <w:rsid w:val="006A5254"/>
    <w:pPr>
      <w:keepNext/>
      <w:spacing w:before="240" w:after="60"/>
      <w:outlineLvl w:val="1"/>
    </w:pPr>
    <w:rPr>
      <w:rFonts w:ascii="Arial" w:hAnsi="Arial"/>
      <w:b/>
      <w:i/>
    </w:rPr>
  </w:style>
  <w:style w:type="paragraph" w:styleId="Overskrift4">
    <w:name w:val="heading 4"/>
    <w:basedOn w:val="Normal"/>
    <w:next w:val="Normal"/>
    <w:qFormat/>
    <w:rsid w:val="006A5254"/>
    <w:pPr>
      <w:keepNext/>
      <w:jc w:val="center"/>
      <w:outlineLvl w:val="3"/>
    </w:pPr>
    <w:rPr>
      <w:b/>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6A5254"/>
    <w:pPr>
      <w:tabs>
        <w:tab w:val="center" w:pos="4536"/>
        <w:tab w:val="right" w:pos="9072"/>
      </w:tabs>
    </w:pPr>
  </w:style>
  <w:style w:type="character" w:styleId="Sidetall">
    <w:name w:val="page number"/>
    <w:basedOn w:val="Standardskriftforavsnitt"/>
    <w:rsid w:val="006A5254"/>
  </w:style>
  <w:style w:type="paragraph" w:styleId="Bobletekst">
    <w:name w:val="Balloon Text"/>
    <w:basedOn w:val="Normal"/>
    <w:semiHidden/>
    <w:rsid w:val="006A5254"/>
    <w:rPr>
      <w:rFonts w:ascii="Tahoma" w:hAnsi="Tahoma" w:cs="Tahoma"/>
      <w:sz w:val="16"/>
      <w:szCs w:val="16"/>
    </w:rPr>
  </w:style>
  <w:style w:type="paragraph" w:styleId="Topptekst">
    <w:name w:val="header"/>
    <w:basedOn w:val="Normal"/>
    <w:rsid w:val="009B50E9"/>
    <w:pPr>
      <w:tabs>
        <w:tab w:val="center" w:pos="4536"/>
        <w:tab w:val="right" w:pos="9072"/>
      </w:tabs>
    </w:pPr>
  </w:style>
  <w:style w:type="paragraph" w:styleId="Fotnotetekst">
    <w:name w:val="footnote text"/>
    <w:basedOn w:val="Normal"/>
    <w:semiHidden/>
    <w:rsid w:val="008E48CA"/>
    <w:rPr>
      <w:sz w:val="20"/>
    </w:rPr>
  </w:style>
  <w:style w:type="character" w:styleId="Fotnotereferanse">
    <w:name w:val="footnote reference"/>
    <w:semiHidden/>
    <w:rsid w:val="008E48CA"/>
    <w:rPr>
      <w:vertAlign w:val="superscript"/>
    </w:rPr>
  </w:style>
  <w:style w:type="paragraph" w:styleId="Sluttnotetekst">
    <w:name w:val="endnote text"/>
    <w:basedOn w:val="Normal"/>
    <w:semiHidden/>
    <w:rsid w:val="008E48CA"/>
    <w:rPr>
      <w:sz w:val="20"/>
    </w:rPr>
  </w:style>
  <w:style w:type="character" w:styleId="Sluttnotereferanse">
    <w:name w:val="endnote reference"/>
    <w:semiHidden/>
    <w:rsid w:val="008E48CA"/>
    <w:rPr>
      <w:vertAlign w:val="superscript"/>
    </w:rPr>
  </w:style>
  <w:style w:type="character" w:styleId="Hyperkobling">
    <w:name w:val="Hyperlink"/>
    <w:uiPriority w:val="99"/>
    <w:unhideWhenUsed/>
    <w:rsid w:val="003A483E"/>
    <w:rPr>
      <w:color w:val="0000FF"/>
      <w:u w:val="single"/>
    </w:rPr>
  </w:style>
  <w:style w:type="paragraph" w:styleId="Listeavsnitt">
    <w:name w:val="List Paragraph"/>
    <w:basedOn w:val="Normal"/>
    <w:uiPriority w:val="34"/>
    <w:qFormat/>
    <w:rsid w:val="00CB5D7C"/>
    <w:pPr>
      <w:ind w:left="720"/>
      <w:contextualSpacing/>
    </w:pPr>
    <w:rPr>
      <w:sz w:val="20"/>
    </w:rPr>
  </w:style>
  <w:style w:type="paragraph" w:styleId="Tittel">
    <w:name w:val="Title"/>
    <w:basedOn w:val="Normal"/>
    <w:next w:val="Normal"/>
    <w:link w:val="TittelTegn"/>
    <w:uiPriority w:val="10"/>
    <w:qFormat/>
    <w:rsid w:val="0008155D"/>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telTegn">
    <w:name w:val="Tittel Tegn"/>
    <w:link w:val="Tittel"/>
    <w:uiPriority w:val="10"/>
    <w:rsid w:val="0008155D"/>
    <w:rPr>
      <w:rFonts w:ascii="Cambria" w:hAnsi="Cambria"/>
      <w:color w:val="17365D"/>
      <w:spacing w:val="5"/>
      <w:kern w:val="28"/>
      <w:sz w:val="52"/>
      <w:szCs w:val="52"/>
      <w:lang w:val="nb-NO"/>
    </w:rPr>
  </w:style>
  <w:style w:type="paragraph" w:styleId="Revisjon">
    <w:name w:val="Revision"/>
    <w:hidden/>
    <w:uiPriority w:val="99"/>
    <w:semiHidden/>
    <w:rsid w:val="00CC6949"/>
    <w:rPr>
      <w:sz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97277">
      <w:bodyDiv w:val="1"/>
      <w:marLeft w:val="0"/>
      <w:marRight w:val="0"/>
      <w:marTop w:val="0"/>
      <w:marBottom w:val="0"/>
      <w:divBdr>
        <w:top w:val="none" w:sz="0" w:space="0" w:color="auto"/>
        <w:left w:val="none" w:sz="0" w:space="0" w:color="auto"/>
        <w:bottom w:val="none" w:sz="0" w:space="0" w:color="auto"/>
        <w:right w:val="none" w:sz="0" w:space="0" w:color="auto"/>
      </w:divBdr>
      <w:divsChild>
        <w:div w:id="227420286">
          <w:marLeft w:val="0"/>
          <w:marRight w:val="0"/>
          <w:marTop w:val="0"/>
          <w:marBottom w:val="0"/>
          <w:divBdr>
            <w:top w:val="none" w:sz="0" w:space="0" w:color="auto"/>
            <w:left w:val="none" w:sz="0" w:space="0" w:color="auto"/>
            <w:bottom w:val="none" w:sz="0" w:space="0" w:color="auto"/>
            <w:right w:val="none" w:sz="0" w:space="0" w:color="auto"/>
          </w:divBdr>
        </w:div>
        <w:div w:id="343940433">
          <w:marLeft w:val="0"/>
          <w:marRight w:val="0"/>
          <w:marTop w:val="0"/>
          <w:marBottom w:val="0"/>
          <w:divBdr>
            <w:top w:val="none" w:sz="0" w:space="0" w:color="auto"/>
            <w:left w:val="none" w:sz="0" w:space="0" w:color="auto"/>
            <w:bottom w:val="none" w:sz="0" w:space="0" w:color="auto"/>
            <w:right w:val="none" w:sz="0" w:space="0" w:color="auto"/>
          </w:divBdr>
        </w:div>
        <w:div w:id="561257980">
          <w:marLeft w:val="0"/>
          <w:marRight w:val="0"/>
          <w:marTop w:val="0"/>
          <w:marBottom w:val="0"/>
          <w:divBdr>
            <w:top w:val="none" w:sz="0" w:space="0" w:color="auto"/>
            <w:left w:val="none" w:sz="0" w:space="0" w:color="auto"/>
            <w:bottom w:val="none" w:sz="0" w:space="0" w:color="auto"/>
            <w:right w:val="none" w:sz="0" w:space="0" w:color="auto"/>
          </w:divBdr>
        </w:div>
        <w:div w:id="664090726">
          <w:marLeft w:val="0"/>
          <w:marRight w:val="0"/>
          <w:marTop w:val="0"/>
          <w:marBottom w:val="0"/>
          <w:divBdr>
            <w:top w:val="none" w:sz="0" w:space="0" w:color="auto"/>
            <w:left w:val="none" w:sz="0" w:space="0" w:color="auto"/>
            <w:bottom w:val="none" w:sz="0" w:space="0" w:color="auto"/>
            <w:right w:val="none" w:sz="0" w:space="0" w:color="auto"/>
          </w:divBdr>
        </w:div>
        <w:div w:id="715859519">
          <w:marLeft w:val="0"/>
          <w:marRight w:val="0"/>
          <w:marTop w:val="0"/>
          <w:marBottom w:val="0"/>
          <w:divBdr>
            <w:top w:val="none" w:sz="0" w:space="0" w:color="auto"/>
            <w:left w:val="none" w:sz="0" w:space="0" w:color="auto"/>
            <w:bottom w:val="none" w:sz="0" w:space="0" w:color="auto"/>
            <w:right w:val="none" w:sz="0" w:space="0" w:color="auto"/>
          </w:divBdr>
        </w:div>
        <w:div w:id="844711034">
          <w:marLeft w:val="0"/>
          <w:marRight w:val="0"/>
          <w:marTop w:val="0"/>
          <w:marBottom w:val="0"/>
          <w:divBdr>
            <w:top w:val="none" w:sz="0" w:space="0" w:color="auto"/>
            <w:left w:val="none" w:sz="0" w:space="0" w:color="auto"/>
            <w:bottom w:val="none" w:sz="0" w:space="0" w:color="auto"/>
            <w:right w:val="none" w:sz="0" w:space="0" w:color="auto"/>
          </w:divBdr>
        </w:div>
        <w:div w:id="1291863181">
          <w:marLeft w:val="0"/>
          <w:marRight w:val="0"/>
          <w:marTop w:val="0"/>
          <w:marBottom w:val="0"/>
          <w:divBdr>
            <w:top w:val="none" w:sz="0" w:space="0" w:color="auto"/>
            <w:left w:val="none" w:sz="0" w:space="0" w:color="auto"/>
            <w:bottom w:val="none" w:sz="0" w:space="0" w:color="auto"/>
            <w:right w:val="none" w:sz="0" w:space="0" w:color="auto"/>
          </w:divBdr>
        </w:div>
        <w:div w:id="1320110204">
          <w:marLeft w:val="0"/>
          <w:marRight w:val="0"/>
          <w:marTop w:val="0"/>
          <w:marBottom w:val="0"/>
          <w:divBdr>
            <w:top w:val="none" w:sz="0" w:space="0" w:color="auto"/>
            <w:left w:val="none" w:sz="0" w:space="0" w:color="auto"/>
            <w:bottom w:val="none" w:sz="0" w:space="0" w:color="auto"/>
            <w:right w:val="none" w:sz="0" w:space="0" w:color="auto"/>
          </w:divBdr>
        </w:div>
        <w:div w:id="1469592090">
          <w:marLeft w:val="0"/>
          <w:marRight w:val="0"/>
          <w:marTop w:val="0"/>
          <w:marBottom w:val="0"/>
          <w:divBdr>
            <w:top w:val="none" w:sz="0" w:space="0" w:color="auto"/>
            <w:left w:val="none" w:sz="0" w:space="0" w:color="auto"/>
            <w:bottom w:val="none" w:sz="0" w:space="0" w:color="auto"/>
            <w:right w:val="none" w:sz="0" w:space="0" w:color="auto"/>
          </w:divBdr>
        </w:div>
        <w:div w:id="1887137827">
          <w:marLeft w:val="0"/>
          <w:marRight w:val="0"/>
          <w:marTop w:val="0"/>
          <w:marBottom w:val="0"/>
          <w:divBdr>
            <w:top w:val="none" w:sz="0" w:space="0" w:color="auto"/>
            <w:left w:val="none" w:sz="0" w:space="0" w:color="auto"/>
            <w:bottom w:val="none" w:sz="0" w:space="0" w:color="auto"/>
            <w:right w:val="none" w:sz="0" w:space="0" w:color="auto"/>
          </w:divBdr>
        </w:div>
        <w:div w:id="1953046620">
          <w:marLeft w:val="0"/>
          <w:marRight w:val="0"/>
          <w:marTop w:val="0"/>
          <w:marBottom w:val="0"/>
          <w:divBdr>
            <w:top w:val="none" w:sz="0" w:space="0" w:color="auto"/>
            <w:left w:val="none" w:sz="0" w:space="0" w:color="auto"/>
            <w:bottom w:val="none" w:sz="0" w:space="0" w:color="auto"/>
            <w:right w:val="none" w:sz="0" w:space="0" w:color="auto"/>
          </w:divBdr>
        </w:div>
        <w:div w:id="212888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vff.n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vff.n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577</Words>
  <Characters>3795</Characters>
  <Application>Microsoft Office Word</Application>
  <DocSecurity>0</DocSecurity>
  <Lines>31</Lines>
  <Paragraphs>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Utkast: Bransjeanbefaling lite likvide</vt:lpstr>
      <vt:lpstr>Utkast: Bransjeanbefaling lite likvide</vt:lpstr>
    </vt:vector>
  </TitlesOfParts>
  <Company>Verdipapirfondenes Forening</Company>
  <LinksUpToDate>false</LinksUpToDate>
  <CharactersWithSpaces>4364</CharactersWithSpaces>
  <SharedDoc>false</SharedDoc>
  <HLinks>
    <vt:vector size="12" baseType="variant">
      <vt:variant>
        <vt:i4>7995511</vt:i4>
      </vt:variant>
      <vt:variant>
        <vt:i4>9</vt:i4>
      </vt:variant>
      <vt:variant>
        <vt:i4>0</vt:i4>
      </vt:variant>
      <vt:variant>
        <vt:i4>5</vt:i4>
      </vt:variant>
      <vt:variant>
        <vt:lpwstr>http://www.vff.no/</vt:lpwstr>
      </vt:variant>
      <vt:variant>
        <vt:lpwstr/>
      </vt:variant>
      <vt:variant>
        <vt:i4>7995511</vt:i4>
      </vt:variant>
      <vt:variant>
        <vt:i4>6</vt:i4>
      </vt:variant>
      <vt:variant>
        <vt:i4>0</vt:i4>
      </vt:variant>
      <vt:variant>
        <vt:i4>5</vt:i4>
      </vt:variant>
      <vt:variant>
        <vt:lpwstr>http://www.vff.no/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Utkast: Bransjeanbefaling lite likvide</dc:title>
  <dc:subject/>
  <dc:creator>Bernt S. Zakariassen</dc:creator>
  <cp:keywords/>
  <cp:lastModifiedBy>Erlend Lundgren</cp:lastModifiedBy>
  <cp:revision>4</cp:revision>
  <cp:lastPrinted>2023-10-11T06:19:00Z</cp:lastPrinted>
  <dcterms:created xsi:type="dcterms:W3CDTF">2023-12-08T08:21:00Z</dcterms:created>
  <dcterms:modified xsi:type="dcterms:W3CDTF">2023-12-08T08:23:00Z</dcterms:modified>
</cp:coreProperties>
</file>