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5C796" w14:textId="77777777" w:rsidR="0065752A" w:rsidRPr="0065752A" w:rsidRDefault="0065752A" w:rsidP="0065752A"/>
    <w:p w14:paraId="2FD1D4D2" w14:textId="5BE3C921" w:rsidR="00B7069A" w:rsidRPr="00B7069A" w:rsidRDefault="00B7069A" w:rsidP="00B7069A">
      <w:pPr>
        <w:jc w:val="center"/>
        <w:rPr>
          <w:sz w:val="28"/>
          <w:szCs w:val="28"/>
        </w:rPr>
      </w:pPr>
      <w:r w:rsidRPr="00B7069A">
        <w:rPr>
          <w:sz w:val="28"/>
          <w:szCs w:val="28"/>
        </w:rPr>
        <w:t xml:space="preserve">Bransjeanbefaling for medlemmene i Verdipapirfondenes forening til </w:t>
      </w:r>
    </w:p>
    <w:p w14:paraId="2B06366D" w14:textId="77777777" w:rsidR="00B7069A" w:rsidRDefault="00B7069A" w:rsidP="00B7069A">
      <w:pPr>
        <w:jc w:val="center"/>
        <w:rPr>
          <w:color w:val="FF0000"/>
          <w:sz w:val="28"/>
          <w:szCs w:val="28"/>
        </w:rPr>
      </w:pPr>
    </w:p>
    <w:p w14:paraId="0C068137" w14:textId="0DC67356" w:rsidR="0065752A" w:rsidRPr="00B7069A" w:rsidRDefault="0065752A" w:rsidP="00B7069A">
      <w:pPr>
        <w:jc w:val="center"/>
        <w:rPr>
          <w:sz w:val="28"/>
          <w:szCs w:val="28"/>
        </w:rPr>
      </w:pPr>
      <w:r w:rsidRPr="00B7069A">
        <w:rPr>
          <w:sz w:val="28"/>
          <w:szCs w:val="28"/>
        </w:rPr>
        <w:t>kundeavtale for ytelse av finansielle tjenester etter finansavtaleloven</w:t>
      </w:r>
    </w:p>
    <w:p w14:paraId="062EB64E" w14:textId="77777777" w:rsidR="0065752A" w:rsidRDefault="0065752A" w:rsidP="0065752A">
      <w:pPr>
        <w:rPr>
          <w:color w:val="00B0F0"/>
        </w:rPr>
      </w:pPr>
    </w:p>
    <w:p w14:paraId="7097C589" w14:textId="4F4E3406" w:rsidR="0065752A" w:rsidRPr="0065752A" w:rsidRDefault="0065752A" w:rsidP="0065752A">
      <w:pPr>
        <w:rPr>
          <w:color w:val="00B0F0"/>
        </w:rPr>
      </w:pPr>
      <w:r w:rsidRPr="0065752A">
        <w:rPr>
          <w:color w:val="00B0F0"/>
        </w:rPr>
        <w:t xml:space="preserve">Blå tekst for utfylling </w:t>
      </w:r>
    </w:p>
    <w:p w14:paraId="09821F92" w14:textId="77777777" w:rsidR="0065752A" w:rsidRPr="0065752A" w:rsidRDefault="0065752A" w:rsidP="0065752A">
      <w:pPr>
        <w:rPr>
          <w:color w:val="FF0000"/>
        </w:rPr>
      </w:pPr>
      <w:r w:rsidRPr="0065752A">
        <w:rPr>
          <w:color w:val="FF0000"/>
        </w:rPr>
        <w:t xml:space="preserve">Rød tekst = hjelpetekst </w:t>
      </w:r>
    </w:p>
    <w:p w14:paraId="6001CED2" w14:textId="2B76F07E" w:rsidR="0065752A" w:rsidRPr="0065752A" w:rsidRDefault="0065752A" w:rsidP="0065752A">
      <w:pPr>
        <w:jc w:val="center"/>
      </w:pPr>
      <w:r w:rsidRPr="0065752A">
        <w:t>MELLOM</w:t>
      </w:r>
    </w:p>
    <w:p w14:paraId="406843A1" w14:textId="0CF4D7D6" w:rsidR="0065752A" w:rsidRPr="0065752A" w:rsidRDefault="0065752A" w:rsidP="0065752A">
      <w:pPr>
        <w:jc w:val="center"/>
      </w:pPr>
      <w:r w:rsidRPr="0065752A">
        <w:rPr>
          <w:b/>
          <w:bCs/>
        </w:rPr>
        <w:t>[</w:t>
      </w:r>
      <w:r w:rsidRPr="0065752A">
        <w:rPr>
          <w:b/>
          <w:bCs/>
          <w:color w:val="0070C0"/>
        </w:rPr>
        <w:t>Navn</w:t>
      </w:r>
      <w:r w:rsidRPr="0065752A">
        <w:rPr>
          <w:b/>
          <w:bCs/>
        </w:rPr>
        <w:t>]</w:t>
      </w:r>
    </w:p>
    <w:p w14:paraId="7AF73C32" w14:textId="2808D9DA" w:rsidR="0065752A" w:rsidRPr="0065752A" w:rsidRDefault="0065752A" w:rsidP="0065752A">
      <w:pPr>
        <w:jc w:val="center"/>
      </w:pPr>
      <w:r w:rsidRPr="0065752A">
        <w:rPr>
          <w:b/>
          <w:bCs/>
        </w:rPr>
        <w:t>(heretter kalt Kunden)</w:t>
      </w:r>
    </w:p>
    <w:p w14:paraId="79CD39A7" w14:textId="769A4101" w:rsidR="0065752A" w:rsidRPr="0065752A" w:rsidRDefault="0065752A" w:rsidP="0065752A">
      <w:pPr>
        <w:jc w:val="center"/>
      </w:pPr>
      <w:r w:rsidRPr="0065752A">
        <w:rPr>
          <w:b/>
          <w:bCs/>
        </w:rPr>
        <w:t>OG</w:t>
      </w:r>
    </w:p>
    <w:p w14:paraId="5129C6A9" w14:textId="16BCC824" w:rsidR="0065752A" w:rsidRPr="0065752A" w:rsidRDefault="0065752A" w:rsidP="0065752A">
      <w:pPr>
        <w:jc w:val="center"/>
      </w:pPr>
      <w:r w:rsidRPr="0065752A">
        <w:rPr>
          <w:b/>
          <w:bCs/>
        </w:rPr>
        <w:t>[</w:t>
      </w:r>
      <w:r w:rsidRPr="0065752A">
        <w:rPr>
          <w:b/>
          <w:bCs/>
          <w:color w:val="0070C0"/>
        </w:rPr>
        <w:t>Navn på Forvaltningsselskap</w:t>
      </w:r>
      <w:r w:rsidRPr="0065752A">
        <w:rPr>
          <w:b/>
          <w:bCs/>
        </w:rPr>
        <w:t>]</w:t>
      </w:r>
    </w:p>
    <w:p w14:paraId="4AB71923" w14:textId="6356BB75" w:rsidR="0065752A" w:rsidRPr="0065752A" w:rsidRDefault="0065752A" w:rsidP="0065752A">
      <w:pPr>
        <w:jc w:val="center"/>
      </w:pPr>
      <w:r w:rsidRPr="0065752A">
        <w:rPr>
          <w:b/>
          <w:bCs/>
        </w:rPr>
        <w:t>Org.nr [</w:t>
      </w:r>
      <w:proofErr w:type="spellStart"/>
      <w:r w:rsidRPr="0065752A">
        <w:rPr>
          <w:b/>
          <w:bCs/>
          <w:color w:val="0070C0"/>
        </w:rPr>
        <w:t>xxxxxx</w:t>
      </w:r>
      <w:proofErr w:type="spellEnd"/>
      <w:r w:rsidRPr="0065752A">
        <w:rPr>
          <w:b/>
          <w:bCs/>
        </w:rPr>
        <w:t>]</w:t>
      </w:r>
    </w:p>
    <w:p w14:paraId="6D4C2216" w14:textId="065871CE" w:rsidR="0065752A" w:rsidRDefault="0065752A" w:rsidP="0065752A">
      <w:pPr>
        <w:jc w:val="center"/>
        <w:rPr>
          <w:b/>
          <w:bCs/>
        </w:rPr>
      </w:pPr>
      <w:r w:rsidRPr="0065752A">
        <w:rPr>
          <w:b/>
          <w:bCs/>
        </w:rPr>
        <w:t>(heretter kalt [</w:t>
      </w:r>
      <w:r w:rsidRPr="0065752A">
        <w:rPr>
          <w:b/>
          <w:bCs/>
          <w:color w:val="0070C0"/>
        </w:rPr>
        <w:t>NAVN</w:t>
      </w:r>
      <w:r w:rsidRPr="0065752A">
        <w:rPr>
          <w:b/>
          <w:bCs/>
        </w:rPr>
        <w:t>] eller Forvaltningsselskapet)</w:t>
      </w:r>
    </w:p>
    <w:p w14:paraId="0A12A097" w14:textId="07A76F8A" w:rsidR="0065752A" w:rsidRDefault="0065752A" w:rsidP="0065752A">
      <w:pPr>
        <w:jc w:val="center"/>
        <w:rPr>
          <w:b/>
          <w:bCs/>
        </w:rPr>
      </w:pPr>
    </w:p>
    <w:p w14:paraId="3D6EBAD4" w14:textId="77777777" w:rsidR="0065752A" w:rsidRPr="0065752A" w:rsidRDefault="0065752A" w:rsidP="0065752A">
      <w:pPr>
        <w:jc w:val="center"/>
      </w:pPr>
    </w:p>
    <w:p w14:paraId="1CC4A60C" w14:textId="77777777" w:rsidR="0065752A" w:rsidRPr="0065752A" w:rsidRDefault="0065752A" w:rsidP="0065752A">
      <w:r w:rsidRPr="0065752A">
        <w:rPr>
          <w:b/>
          <w:bCs/>
        </w:rPr>
        <w:t xml:space="preserve">1 OM AVTALEFORHOLDET </w:t>
      </w:r>
    </w:p>
    <w:p w14:paraId="3362F31F" w14:textId="2E55ACA6" w:rsidR="0065752A" w:rsidRDefault="0065752A" w:rsidP="0065752A">
      <w:r w:rsidRPr="0065752A">
        <w:t>Denne avtalen med vedlegg («</w:t>
      </w:r>
      <w:r w:rsidRPr="0065752A">
        <w:rPr>
          <w:b/>
          <w:bCs/>
        </w:rPr>
        <w:t>Avtalen</w:t>
      </w:r>
      <w:r w:rsidRPr="0065752A">
        <w:t>») inngås mellom Forvaltningsselskapet og Kunden og regulerer de tjenester som Forvaltningsselskapet leverer til Kunden i forbindelse med Kundens tegning, innløsning og bytte av andelsklasser, herunder etablering og endring av spareavtaler (samlet eller hver for seg omtalt som «</w:t>
      </w:r>
      <w:r w:rsidRPr="0065752A">
        <w:rPr>
          <w:b/>
          <w:bCs/>
        </w:rPr>
        <w:t>Handel</w:t>
      </w:r>
      <w:r w:rsidRPr="0065752A">
        <w:t xml:space="preserve">»), i verdipapirfond forvaltet eller distribuert av Forvaltningsselskapet. </w:t>
      </w:r>
    </w:p>
    <w:p w14:paraId="3CD37FD1" w14:textId="6A8F0938" w:rsidR="0065752A" w:rsidRDefault="0065752A" w:rsidP="0065752A">
      <w:r w:rsidRPr="0065752A">
        <w:t xml:space="preserve">Avtalen omfatter Handel som gjennomføres av Kunden i alle Forvaltningsselskapets kanaler, herunder, Handel gjennom Forvaltningsselskapets elektroniske handelsplattformer som [tilpasses hvert enkelt foretak] samt manuell handel gjennom Forvaltningsselskapets medarbeidere, per telefon eller ved innsendelse av tegningsblankett. </w:t>
      </w:r>
      <w:r w:rsidR="00E97985" w:rsidRPr="00E97985">
        <w:rPr>
          <w:rFonts w:cstheme="minorHAnsi"/>
        </w:rPr>
        <w:t>Avtalen er felles og likelydende for alle kunder som handler direkte gjennom Forvaltningsselskapet</w:t>
      </w:r>
      <w:r w:rsidR="00E97985">
        <w:rPr>
          <w:rFonts w:cstheme="minorHAnsi"/>
        </w:rPr>
        <w:t>.</w:t>
      </w:r>
    </w:p>
    <w:p w14:paraId="2E08224B" w14:textId="1CF68066" w:rsidR="0065752A" w:rsidRDefault="0065752A" w:rsidP="0065752A"/>
    <w:p w14:paraId="2E40EBCA" w14:textId="77777777" w:rsidR="005D46C3" w:rsidRPr="00AA797C" w:rsidRDefault="0065752A" w:rsidP="0065752A">
      <w:pPr>
        <w:rPr>
          <w:color w:val="0070C0"/>
        </w:rPr>
      </w:pPr>
      <w:r w:rsidRPr="0065752A">
        <w:rPr>
          <w:color w:val="0070C0"/>
        </w:rPr>
        <w:t xml:space="preserve">[Henvisning til ev. andre avtaler inn her, IPS, ASK mv.] </w:t>
      </w:r>
    </w:p>
    <w:p w14:paraId="6F5ED597" w14:textId="77777777" w:rsidR="005D46C3" w:rsidRDefault="005D46C3" w:rsidP="0065752A"/>
    <w:p w14:paraId="1DE52A7F" w14:textId="77777777" w:rsidR="005D46C3" w:rsidRDefault="0065752A" w:rsidP="0065752A">
      <w:r w:rsidRPr="0065752A">
        <w:t>Lov av 18. desember 2020 nr. 146 om finansavtaler (finansavtaleloven) gjelder for tjenester som omfattes av denne Avtalen som ytes til Kunden dersom denne er forbruker. Med forbruker menes fysisk person når avtalen har et formål som hovedsakelig ligger utenfor personens forretnings- eller yrkesvirksomhet, jf. finansavtaleloven § 1-4 (“</w:t>
      </w:r>
      <w:r w:rsidRPr="0065752A">
        <w:rPr>
          <w:b/>
          <w:bCs/>
        </w:rPr>
        <w:t>Forbruker</w:t>
      </w:r>
      <w:r w:rsidRPr="0065752A">
        <w:t xml:space="preserve">”). </w:t>
      </w:r>
    </w:p>
    <w:p w14:paraId="3F22DE2B" w14:textId="3586CD09" w:rsidR="0065752A" w:rsidRDefault="0065752A" w:rsidP="0065752A">
      <w:r w:rsidRPr="0065752A">
        <w:lastRenderedPageBreak/>
        <w:t>Dersom Kunden ikke er Forbruker (“</w:t>
      </w:r>
      <w:r w:rsidRPr="0065752A">
        <w:rPr>
          <w:b/>
          <w:bCs/>
        </w:rPr>
        <w:t>Ikke-forbruker</w:t>
      </w:r>
      <w:r w:rsidRPr="0065752A">
        <w:t xml:space="preserve">”) reguleres forholdet mellom Forvaltningsselskapet og Ikke-forbrukeren av Avtalen og finansavtalelovens bestemmelser skal ikke komme til anvendelse med mindre det fremkommer uttrykkelig av loven at bestemmelsen ikke kan fravikes ved avtale. </w:t>
      </w:r>
    </w:p>
    <w:p w14:paraId="0F74AC30" w14:textId="609AFB14" w:rsidR="00B37504" w:rsidRDefault="00B37504" w:rsidP="0065752A">
      <w:r w:rsidRPr="00B37504">
        <w:t xml:space="preserve">Avtalen og Forretningsvilkårene trer i kraft 1. juli 2023. Den gjelder også for kundeforhold etablert før ikrafttredelsestidspunktet.  </w:t>
      </w:r>
    </w:p>
    <w:p w14:paraId="664156B8" w14:textId="77777777" w:rsidR="00B37504" w:rsidRPr="0065752A" w:rsidRDefault="00B37504" w:rsidP="0065752A"/>
    <w:p w14:paraId="37B20039" w14:textId="77777777" w:rsidR="0065752A" w:rsidRPr="0065752A" w:rsidRDefault="0065752A" w:rsidP="0065752A">
      <w:r w:rsidRPr="0065752A">
        <w:rPr>
          <w:b/>
          <w:bCs/>
        </w:rPr>
        <w:t xml:space="preserve">2 AVTALEINNGÅELSE OG AVTALEVILKÅR </w:t>
      </w:r>
    </w:p>
    <w:p w14:paraId="42BF5410" w14:textId="77777777" w:rsidR="0065752A" w:rsidRPr="0065752A" w:rsidRDefault="0065752A" w:rsidP="0065752A">
      <w:r w:rsidRPr="0065752A">
        <w:rPr>
          <w:i/>
          <w:iCs/>
        </w:rPr>
        <w:t xml:space="preserve">2.1 Avtaleinngåelse </w:t>
      </w:r>
    </w:p>
    <w:p w14:paraId="4108BCFC" w14:textId="2D783F61" w:rsidR="0065752A" w:rsidRDefault="0065752A" w:rsidP="0065752A">
      <w:r w:rsidRPr="0065752A">
        <w:t>Avtalen anses som inngått når Kunden har signert den elektronisk eller fysisk, eller på annen måte har samtykket til inngåelse av Avtalen. Avtalen vil gjelde enhver Handel Kunden gjennomfører, og omfatter den beholdningen av verdipapirfond som Kunden til enhver tid innehar som er forvaltet eller distribuert av Forvaltningsselskapet («</w:t>
      </w:r>
      <w:r w:rsidRPr="0065752A">
        <w:rPr>
          <w:b/>
          <w:bCs/>
        </w:rPr>
        <w:t>Verdipapirfond</w:t>
      </w:r>
      <w:r w:rsidRPr="0065752A">
        <w:t xml:space="preserve">»). </w:t>
      </w:r>
    </w:p>
    <w:p w14:paraId="79244720" w14:textId="4CD59EBC" w:rsidR="000777A9" w:rsidRPr="0065752A" w:rsidRDefault="000777A9" w:rsidP="0065752A"/>
    <w:p w14:paraId="0746DADB" w14:textId="77777777" w:rsidR="0065752A" w:rsidRPr="0065752A" w:rsidRDefault="0065752A" w:rsidP="0065752A">
      <w:r w:rsidRPr="0065752A">
        <w:rPr>
          <w:i/>
          <w:iCs/>
        </w:rPr>
        <w:t xml:space="preserve">2.2 Avtalevilkår </w:t>
      </w:r>
    </w:p>
    <w:p w14:paraId="4446A5BA" w14:textId="77777777" w:rsidR="0065752A" w:rsidRPr="0065752A" w:rsidRDefault="0065752A" w:rsidP="0065752A">
      <w:r w:rsidRPr="0065752A">
        <w:t>Ved inngåelsen av denne Avtalen aksepterer Kunden de til enhver tid gjeldende alminnelige forretningsvilkår, som er vedlagt denne Avtalen som Vedlegg 1 («</w:t>
      </w:r>
      <w:r w:rsidRPr="0065752A">
        <w:rPr>
          <w:b/>
          <w:bCs/>
        </w:rPr>
        <w:t>Forretningsvilkår</w:t>
      </w:r>
      <w:r w:rsidRPr="0065752A">
        <w:t xml:space="preserve">»). I den grad det er motstrid mellom bestemmelsene i denne Avtalen og Forretningsvilkårene skal Avtalen gå foran. </w:t>
      </w:r>
    </w:p>
    <w:p w14:paraId="6550A3D0" w14:textId="77777777" w:rsidR="0065752A" w:rsidRPr="0065752A" w:rsidRDefault="0065752A" w:rsidP="0065752A">
      <w:pPr>
        <w:rPr>
          <w:color w:val="0070C0"/>
        </w:rPr>
      </w:pPr>
      <w:r w:rsidRPr="0065752A">
        <w:t>[</w:t>
      </w:r>
      <w:r w:rsidRPr="0065752A">
        <w:rPr>
          <w:color w:val="FF0000"/>
        </w:rPr>
        <w:t xml:space="preserve">Dersom aktuelt: </w:t>
      </w:r>
      <w:r w:rsidRPr="0065752A">
        <w:rPr>
          <w:color w:val="0070C0"/>
        </w:rPr>
        <w:t xml:space="preserve">Eventuelle tilleggstjenester som Kunden ønsker, herunder Forvaltningsselskapets vederlag for disse tilleggstjenestene, reguleres av andre avtalevilkår som gjelder i tillegg til denne Avtalen.] </w:t>
      </w:r>
    </w:p>
    <w:p w14:paraId="61A95B32" w14:textId="77777777" w:rsidR="0065752A" w:rsidRPr="0065752A" w:rsidRDefault="0065752A" w:rsidP="0065752A">
      <w:r w:rsidRPr="0065752A">
        <w:t xml:space="preserve">Forretningsvilkår, varsler og informasjon fra Forvaltningsselskapet under det løpende avtaleforholdet, som Kunden har krav på vil være tilgjengelig på norsk med mindre annet er avtalt. </w:t>
      </w:r>
    </w:p>
    <w:p w14:paraId="391C77F0" w14:textId="77777777" w:rsidR="0065752A" w:rsidRPr="0065752A" w:rsidRDefault="0065752A" w:rsidP="0065752A">
      <w:r w:rsidRPr="0065752A">
        <w:t>Forvaltningsselskapet vil tilgjengeliggjøre relevant dokumentasjon om det enkelte Verdipapirfond forut for Kundens tegning, innløsning og/eller bytte av fondsandeler, herunder nøkkelinformasjonsdokument, prospekt og vedtekter (samlet omtalt som «</w:t>
      </w:r>
      <w:r w:rsidRPr="0065752A">
        <w:rPr>
          <w:b/>
          <w:bCs/>
        </w:rPr>
        <w:t>Fondsdokumentene</w:t>
      </w:r>
      <w:r w:rsidRPr="0065752A">
        <w:t>»), som også er tilgjengelig på Forvaltningsselskapets nettsider [</w:t>
      </w:r>
      <w:r w:rsidRPr="0065752A">
        <w:rPr>
          <w:color w:val="0070C0"/>
        </w:rPr>
        <w:t>sett inn hyperlenke</w:t>
      </w:r>
      <w:r w:rsidRPr="0065752A">
        <w:t xml:space="preserve">]. </w:t>
      </w:r>
    </w:p>
    <w:p w14:paraId="143205CF" w14:textId="77777777" w:rsidR="0065752A" w:rsidRPr="0065752A" w:rsidRDefault="0065752A" w:rsidP="0065752A">
      <w:r w:rsidRPr="0065752A">
        <w:t xml:space="preserve">Fondsdokumentene er ikke en del av denne Avtalen. Kunden er bundet av de regler og vilkår som til enhver tid gjelder for det enkelte Verdipapirfond, slik det følger av regelverket for verdipapirfond og Fondsdokumentene. </w:t>
      </w:r>
    </w:p>
    <w:p w14:paraId="5E15A4F3" w14:textId="1BC0D4DC" w:rsidR="0065752A" w:rsidRDefault="0065752A" w:rsidP="0065752A">
      <w:r w:rsidRPr="0065752A">
        <w:t xml:space="preserve">Denne Avtalen omfatter alle senere Handler i Verdipapirfond forvaltet eller distribuert av Forvaltningsselskapet som vil bli bekreftet gjennom separate bekreftelser. </w:t>
      </w:r>
    </w:p>
    <w:p w14:paraId="60A2627C" w14:textId="77777777" w:rsidR="006A07A9" w:rsidRDefault="006A07A9" w:rsidP="0065752A">
      <w:pPr>
        <w:rPr>
          <w:b/>
          <w:bCs/>
        </w:rPr>
      </w:pPr>
    </w:p>
    <w:p w14:paraId="7F65D471" w14:textId="7C0ED8DC" w:rsidR="0065752A" w:rsidRPr="0065752A" w:rsidRDefault="0065752A" w:rsidP="0065752A">
      <w:r w:rsidRPr="0065752A">
        <w:rPr>
          <w:b/>
          <w:bCs/>
        </w:rPr>
        <w:t xml:space="preserve">3 HANDEL MED FONDSANDELER </w:t>
      </w:r>
    </w:p>
    <w:p w14:paraId="0093EEE9" w14:textId="5AF7F916" w:rsidR="0065752A" w:rsidRDefault="0065752A" w:rsidP="0065752A">
      <w:r w:rsidRPr="0065752A">
        <w:t>[</w:t>
      </w:r>
      <w:r w:rsidRPr="0065752A">
        <w:rPr>
          <w:color w:val="FF0000"/>
        </w:rPr>
        <w:t>Vurder om punkt er nødvendig</w:t>
      </w:r>
      <w:r w:rsidRPr="0065752A">
        <w:t xml:space="preserve">: </w:t>
      </w:r>
      <w:r w:rsidRPr="0065752A">
        <w:rPr>
          <w:color w:val="0070C0"/>
        </w:rPr>
        <w:t>Dersom man f.eks. distribuerer andre fondsforvalteres verdipapirfond gjennom egen plattform</w:t>
      </w:r>
      <w:r w:rsidRPr="0065752A">
        <w:t xml:space="preserve">.] </w:t>
      </w:r>
    </w:p>
    <w:p w14:paraId="761BACF6" w14:textId="77777777" w:rsidR="005D46C3" w:rsidRPr="0065752A" w:rsidRDefault="005D46C3" w:rsidP="0065752A"/>
    <w:p w14:paraId="46411DDC" w14:textId="77777777" w:rsidR="0065752A" w:rsidRPr="0065752A" w:rsidRDefault="0065752A" w:rsidP="0065752A">
      <w:r w:rsidRPr="0065752A">
        <w:rPr>
          <w:b/>
          <w:bCs/>
        </w:rPr>
        <w:t xml:space="preserve">4 ENDRING AV FONDSUTVALG OG LØPENDE SPAREAVTALER </w:t>
      </w:r>
    </w:p>
    <w:p w14:paraId="4B236A1F" w14:textId="77777777" w:rsidR="0065752A" w:rsidRPr="0065752A" w:rsidRDefault="0065752A" w:rsidP="0065752A">
      <w:r w:rsidRPr="0065752A">
        <w:lastRenderedPageBreak/>
        <w:t>[</w:t>
      </w:r>
      <w:r w:rsidRPr="0065752A">
        <w:rPr>
          <w:color w:val="FF0000"/>
        </w:rPr>
        <w:t>Vurder om punkt er nødvendig</w:t>
      </w:r>
      <w:r w:rsidRPr="0065752A">
        <w:t xml:space="preserve">: </w:t>
      </w:r>
      <w:r w:rsidRPr="0065752A">
        <w:rPr>
          <w:color w:val="0070C0"/>
        </w:rPr>
        <w:t>Dersom man f.eks. distribuerer andre fondsforvalteres verdipapirfond gjennom egen plattform</w:t>
      </w:r>
      <w:r w:rsidRPr="0065752A">
        <w:t xml:space="preserve">.] </w:t>
      </w:r>
    </w:p>
    <w:p w14:paraId="1F618A99" w14:textId="2AE81203" w:rsidR="006A07A9" w:rsidRDefault="006A07A9" w:rsidP="0065752A">
      <w:pPr>
        <w:rPr>
          <w:b/>
          <w:bCs/>
        </w:rPr>
      </w:pPr>
    </w:p>
    <w:p w14:paraId="2407CD7D" w14:textId="77777777" w:rsidR="00B7069A" w:rsidRDefault="00B7069A" w:rsidP="0065752A">
      <w:pPr>
        <w:rPr>
          <w:b/>
          <w:bCs/>
        </w:rPr>
      </w:pPr>
    </w:p>
    <w:p w14:paraId="28AB0D77" w14:textId="1FCD3B1D" w:rsidR="0065752A" w:rsidRPr="0065752A" w:rsidRDefault="0065752A" w:rsidP="0065752A">
      <w:r w:rsidRPr="0065752A">
        <w:rPr>
          <w:b/>
          <w:bCs/>
        </w:rPr>
        <w:t xml:space="preserve">5 KOSTNADER OG VEDERLAG </w:t>
      </w:r>
    </w:p>
    <w:p w14:paraId="45305EC7" w14:textId="77777777" w:rsidR="0065752A" w:rsidRPr="0065752A" w:rsidRDefault="0065752A" w:rsidP="0065752A">
      <w:r w:rsidRPr="0065752A">
        <w:t>[</w:t>
      </w:r>
      <w:r w:rsidRPr="0065752A">
        <w:rPr>
          <w:color w:val="FF0000"/>
        </w:rPr>
        <w:t>Dersom aktuelt</w:t>
      </w:r>
      <w:r w:rsidRPr="0065752A">
        <w:t xml:space="preserve">: </w:t>
      </w:r>
      <w:r w:rsidRPr="0065752A">
        <w:rPr>
          <w:color w:val="0070C0"/>
        </w:rPr>
        <w:t>Sett inn informasjon dersom plattformhonorar, eller andre kostnader/gebyrer, belastes Kunden og henvisning til den til enhver tid gjeldende prisliste</w:t>
      </w:r>
      <w:r w:rsidRPr="0065752A">
        <w:t xml:space="preserve">.] </w:t>
      </w:r>
    </w:p>
    <w:p w14:paraId="6BB0DC3F" w14:textId="77777777" w:rsidR="0065752A" w:rsidRPr="0065752A" w:rsidRDefault="0065752A" w:rsidP="0065752A">
      <w:r w:rsidRPr="0065752A">
        <w:t xml:space="preserve">Forvaltningshonorar og eventuelle andre kostnader i </w:t>
      </w:r>
      <w:proofErr w:type="gramStart"/>
      <w:r w:rsidRPr="0065752A">
        <w:t>medhold av</w:t>
      </w:r>
      <w:proofErr w:type="gramEnd"/>
      <w:r w:rsidRPr="0065752A">
        <w:t xml:space="preserve"> verdipapirfondloven reguleres ikke av Avtalen, men av Fondsdokumentene for det enkelte Verdipapirfond. </w:t>
      </w:r>
    </w:p>
    <w:p w14:paraId="03F9CDC6" w14:textId="77777777" w:rsidR="006A07A9" w:rsidRDefault="006A07A9" w:rsidP="0065752A">
      <w:pPr>
        <w:rPr>
          <w:b/>
          <w:bCs/>
        </w:rPr>
      </w:pPr>
    </w:p>
    <w:p w14:paraId="7AFE4290" w14:textId="50A924E9" w:rsidR="0065752A" w:rsidRPr="0065752A" w:rsidRDefault="0065752A" w:rsidP="0065752A">
      <w:r w:rsidRPr="0065752A">
        <w:rPr>
          <w:b/>
          <w:bCs/>
        </w:rPr>
        <w:t xml:space="preserve">6 ENDRINGER I AVTALEN </w:t>
      </w:r>
    </w:p>
    <w:p w14:paraId="5B4615C8" w14:textId="3BD554E0" w:rsidR="005D46C3" w:rsidRDefault="00C21896" w:rsidP="0065752A">
      <w:r>
        <w:t xml:space="preserve">Forvaltningsselskapet kan gjøre endringer i Avtalen. </w:t>
      </w:r>
      <w:r w:rsidR="003B5B2A">
        <w:t xml:space="preserve">Kunden vil bli varslet om slike endringer. Dersom endringene ikke er til ugunst for Kunden gjelder endringen fra tidspunktet kundene får melding om endringene. Ved eventuelle endringer til ugunst for Kunden gjelder en varslingsplikt på to måneder før endringene settes i verk. </w:t>
      </w:r>
      <w:r w:rsidR="0065752A" w:rsidRPr="0065752A">
        <w:t xml:space="preserve">Dette gjelder likevel ikke endringer i Avtalen som skyldes endret lovgivning, myndighetspraksis eller pålegg fra offentlige myndigheter. Slike endringer vil bli varslet, men vil kunne settes i verk umiddelbart. Kunden kan varsle Forvaltningsselskapet om at en endring til skade for Kunden avvises. </w:t>
      </w:r>
    </w:p>
    <w:p w14:paraId="686FD4A6" w14:textId="0225F058" w:rsidR="005D46C3" w:rsidRDefault="003B5B2A" w:rsidP="0065752A">
      <w:r>
        <w:t>Dersom Kunden motsetter seg endringene</w:t>
      </w:r>
      <w:r w:rsidR="008C26DB">
        <w:t>,</w:t>
      </w:r>
      <w:r>
        <w:t xml:space="preserve"> må Kunden melde fra til Forvaltningsselskapet før det oppgitte tidspunktet for ikrafttredelse av endringene. Kunden anses å samtykke til en foreslått endring av Avtalen ved å forholde seg passiv.</w:t>
      </w:r>
      <w:r w:rsidR="00AC78F1">
        <w:t xml:space="preserve"> </w:t>
      </w:r>
      <w:r w:rsidR="0065752A" w:rsidRPr="0065752A">
        <w:t>Dersom Kunden ikke gir varsel innen 2 måneder slik Forvaltningsselskapet har angitt anses endringen som bindende for Kunden</w:t>
      </w:r>
      <w:bookmarkStart w:id="0" w:name="_Hlk133233357"/>
      <w:r w:rsidR="0065752A" w:rsidRPr="0065752A">
        <w:t>. Dersom Kunden avviser endringen, vil dette gi Forvaltningsselskapet rett til å si opp Avtalen. Virkningene av oppsigelse av Avtalen er nærmer</w:t>
      </w:r>
      <w:r w:rsidR="00C21896">
        <w:t>e</w:t>
      </w:r>
      <w:r w:rsidR="0065752A" w:rsidRPr="0065752A">
        <w:t xml:space="preserve"> beskrevet i punkt [7]</w:t>
      </w:r>
      <w:bookmarkEnd w:id="0"/>
      <w:r w:rsidR="0065752A" w:rsidRPr="0065752A">
        <w:t xml:space="preserve"> under. </w:t>
      </w:r>
    </w:p>
    <w:p w14:paraId="5DB2C080" w14:textId="77777777" w:rsidR="005D46C3" w:rsidRDefault="0065752A" w:rsidP="0065752A">
      <w:r w:rsidRPr="0065752A">
        <w:t>[</w:t>
      </w:r>
      <w:r w:rsidRPr="0065752A">
        <w:rPr>
          <w:color w:val="FF0000"/>
        </w:rPr>
        <w:t>Dersom aktuelt</w:t>
      </w:r>
      <w:r w:rsidRPr="0065752A">
        <w:t xml:space="preserve">: </w:t>
      </w:r>
      <w:r w:rsidRPr="0065752A">
        <w:rPr>
          <w:color w:val="0070C0"/>
        </w:rPr>
        <w:t>Sett inn informasjon om økning av plattformgebyr eller andre gebyrer og kostander</w:t>
      </w:r>
      <w:r w:rsidRPr="0065752A">
        <w:t xml:space="preserve">] </w:t>
      </w:r>
    </w:p>
    <w:p w14:paraId="7FBDA682" w14:textId="4471FAEE" w:rsidR="005D46C3" w:rsidRDefault="0065752A" w:rsidP="0065752A">
      <w:r w:rsidRPr="0065752A">
        <w:t xml:space="preserve">Endringsbestemmelsene </w:t>
      </w:r>
      <w:r w:rsidR="003B5B2A">
        <w:t xml:space="preserve">nevnt over </w:t>
      </w:r>
      <w:r w:rsidRPr="0065752A">
        <w:t>i dette punkt [</w:t>
      </w:r>
      <w:r w:rsidRPr="0065752A">
        <w:rPr>
          <w:color w:val="0070C0"/>
        </w:rPr>
        <w:t>6</w:t>
      </w:r>
      <w:r w:rsidRPr="0065752A">
        <w:t xml:space="preserve">] </w:t>
      </w:r>
      <w:proofErr w:type="gramStart"/>
      <w:r w:rsidRPr="0065752A">
        <w:t>gjelder  for</w:t>
      </w:r>
      <w:proofErr w:type="gramEnd"/>
      <w:r w:rsidRPr="0065752A">
        <w:t xml:space="preserve"> Kunden som er Forbruker. For Ikke-forbruker kan Forvaltningsselskapet </w:t>
      </w:r>
      <w:r w:rsidR="003B5B2A">
        <w:t xml:space="preserve">også </w:t>
      </w:r>
      <w:r w:rsidRPr="0065752A">
        <w:t xml:space="preserve">foreta endringer i Avtalen ensidig. </w:t>
      </w:r>
      <w:r w:rsidR="003B5B2A">
        <w:t xml:space="preserve">Dersom endringen er til ugunst vil Forvaltningsselskapet sende varsel om endringen, som vil tre i kraft på tidspunktet angitt i varselet.  </w:t>
      </w:r>
    </w:p>
    <w:p w14:paraId="6FC1483A" w14:textId="77777777" w:rsidR="005D46C3" w:rsidRDefault="005D46C3" w:rsidP="0065752A"/>
    <w:p w14:paraId="52BDC909" w14:textId="77777777" w:rsidR="005D46C3" w:rsidRDefault="0065752A" w:rsidP="0065752A">
      <w:pPr>
        <w:rPr>
          <w:b/>
          <w:bCs/>
        </w:rPr>
      </w:pPr>
      <w:r w:rsidRPr="0065752A">
        <w:rPr>
          <w:b/>
          <w:bCs/>
        </w:rPr>
        <w:t xml:space="preserve">7 VARIGHET, OPPSIGELSE OG AVVIKLING </w:t>
      </w:r>
    </w:p>
    <w:p w14:paraId="18136640" w14:textId="77777777" w:rsidR="005D46C3" w:rsidRDefault="0065752A" w:rsidP="0065752A">
      <w:r w:rsidRPr="0065752A">
        <w:t>Avtalen gjelder til den blir sagt opp av Forvaltningsselskapet eller Kunden.</w:t>
      </w:r>
    </w:p>
    <w:p w14:paraId="6937E02D" w14:textId="77777777" w:rsidR="005D46C3" w:rsidRDefault="0065752A" w:rsidP="0065752A">
      <w:r w:rsidRPr="0065752A">
        <w:t xml:space="preserve">Kunden kan si opp denne Avtalen med umiddelbar virkning. </w:t>
      </w:r>
    </w:p>
    <w:p w14:paraId="4FE1FDF6" w14:textId="63B45B78" w:rsidR="000D7370" w:rsidRDefault="0065752A" w:rsidP="0065752A">
      <w:r w:rsidRPr="0065752A">
        <w:t>Forvaltningsselskapet kan si opp denne Avtalen med 2 måneder skriftlig varsel dersom det foreligger saklig grunn. Som saklig grunn regnes blant annet; at Kunden har (i) misligholdt denne Avtalen eller Forretningsvilkårene, eller (ii) avvist endringer som beskrevet ovenfor i punkt [6]</w:t>
      </w:r>
      <w:r w:rsidR="0060038D">
        <w:t xml:space="preserve"> over</w:t>
      </w:r>
      <w:r w:rsidRPr="0065752A">
        <w:t xml:space="preserve">. </w:t>
      </w:r>
    </w:p>
    <w:p w14:paraId="1FE06775" w14:textId="77777777" w:rsidR="000D7370" w:rsidRDefault="0065752A" w:rsidP="0065752A">
      <w:r w:rsidRPr="0065752A">
        <w:t xml:space="preserve">Forvaltningsselskapet kan si opp Avtalen straks dersom Kunden har opptrådt i strid med lov, forskrift eller andre regler fastsatt av tilsynsmyndigheter, eller dersom det foreligger en ikke ubegrunnet </w:t>
      </w:r>
      <w:r w:rsidRPr="0065752A">
        <w:lastRenderedPageBreak/>
        <w:t xml:space="preserve">mistanke om slik adferd. [Videre kan Forvaltningsselskapet si opp Avtalen straks ved Kundens gjentatte eller vesentlige brudd på punkt (i) ovenfor.] </w:t>
      </w:r>
    </w:p>
    <w:p w14:paraId="019E3528" w14:textId="77777777" w:rsidR="000D7370" w:rsidRDefault="0065752A" w:rsidP="0065752A">
      <w:r w:rsidRPr="0065752A">
        <w:t xml:space="preserve">Uten hensyn til reglene om oppsigelse i dette punktet kan Forvaltningsselskapet sperre videre bruk av tjenesten eller på annen måte avvikle denne Avtalen, eller avstå fra å gjennomføre allerede mottatte eller fremtidige ordre så langt dette er nødvendig for at Forvaltningsselskapet skal kunne oppfylle sine plikter fastsatt i lov, forskrift eller pålegg fra offentlig myndighet eller domstol. Kunden vil i så fall motta varsel om sperring. </w:t>
      </w:r>
    </w:p>
    <w:p w14:paraId="074C7AE3" w14:textId="06C1CB07" w:rsidR="0065752A" w:rsidRPr="0065752A" w:rsidRDefault="0065752A" w:rsidP="0065752A">
      <w:r w:rsidRPr="0065752A">
        <w:t xml:space="preserve">Ved oppsigelse av Avtalen skal partene omgående gjøre opp alle sine forpliktelser overfor hverandre. Kunden må </w:t>
      </w:r>
      <w:bookmarkStart w:id="1" w:name="_Hlk133234075"/>
      <w:r w:rsidRPr="0065752A">
        <w:t xml:space="preserve">innløse samtlige fondsandeler og [avslutte sine løpende spareavtaler], </w:t>
      </w:r>
      <w:bookmarkEnd w:id="1"/>
      <w:r w:rsidRPr="0065752A">
        <w:t xml:space="preserve">innen utløpet av oppsigelsesperioden. Ved oppsigelse fra Kunden må Kunden innløse sine fondsandeler innen 30 dager fra oppsigelsestidpunktet. Manglende oppfyllelse av </w:t>
      </w:r>
      <w:r w:rsidR="008C26DB">
        <w:t>disse plikter</w:t>
      </w:r>
      <w:r w:rsidRPr="0065752A">
        <w:t xml:space="preserve"> gir Forvaltningsselskapet rett til, uten Kundens samtykke, å innløse Fondsandelene tilhørende Kunden og overføre innløsningsbeløpet til Kundens bankkonto, herunder avvikle Kundens løpende spareavtaler. Som et alternativ til innløsning av fondsandeler kan Forvaltningsselskapet etter eget skjønn velge å deponere Kundens fondsandeler i henhold til lov om deponering. </w:t>
      </w:r>
    </w:p>
    <w:p w14:paraId="1C131196" w14:textId="77777777" w:rsidR="0065752A" w:rsidRPr="0065752A" w:rsidRDefault="0065752A" w:rsidP="0065752A">
      <w:r w:rsidRPr="0065752A">
        <w:t>Ved innløsning av andeler i verdipapirfond vil gevinst beskattes, og tap kommer til fradrag i beregnet skatt. [</w:t>
      </w:r>
      <w:r w:rsidRPr="0065752A">
        <w:rPr>
          <w:color w:val="0070C0"/>
        </w:rPr>
        <w:t xml:space="preserve">Kunden har risiko for alle skattemessige konsekvenser som følger av en oppsigelse av Avtalen, uavhengig av hvilken part som sier opp Avtalen.] </w:t>
      </w:r>
    </w:p>
    <w:p w14:paraId="22966709" w14:textId="7AC8D606" w:rsidR="0065752A" w:rsidRDefault="0065752A" w:rsidP="0065752A">
      <w:pPr>
        <w:rPr>
          <w:color w:val="0070C0"/>
        </w:rPr>
      </w:pPr>
      <w:r w:rsidRPr="0065752A">
        <w:t>[</w:t>
      </w:r>
      <w:r w:rsidRPr="0065752A">
        <w:rPr>
          <w:color w:val="FF0000"/>
        </w:rPr>
        <w:t>Dersom aktuelt</w:t>
      </w:r>
      <w:r w:rsidRPr="0065752A">
        <w:t xml:space="preserve">: </w:t>
      </w:r>
      <w:r w:rsidRPr="0065752A">
        <w:rPr>
          <w:color w:val="0070C0"/>
        </w:rPr>
        <w:t xml:space="preserve">Uavhengig av måten Avtalen blir sagt opp på er Kunden forpliktet til å betale Plattformhonorar frem til Kundens beholdning av Verdipapirfond er flyttet til en ny distributør eller er innløst.] </w:t>
      </w:r>
    </w:p>
    <w:p w14:paraId="05C7AE93" w14:textId="77777777" w:rsidR="000D7370" w:rsidRPr="0065752A" w:rsidRDefault="000D7370" w:rsidP="0065752A"/>
    <w:p w14:paraId="7EFB78F1" w14:textId="77777777" w:rsidR="0065752A" w:rsidRPr="0065752A" w:rsidRDefault="0065752A" w:rsidP="0065752A">
      <w:r w:rsidRPr="0065752A">
        <w:rPr>
          <w:b/>
          <w:bCs/>
        </w:rPr>
        <w:t xml:space="preserve">8 LOVVALG, VERNETING OG TVISTELØSNING </w:t>
      </w:r>
    </w:p>
    <w:p w14:paraId="105BA9FE" w14:textId="77777777" w:rsidR="0065752A" w:rsidRPr="0065752A" w:rsidRDefault="0065752A" w:rsidP="0065752A">
      <w:r w:rsidRPr="0065752A">
        <w:t xml:space="preserve">Ethvert krav eller enhver tvist mellom partene som springer ut av eller står i forbindelse med denne Avtalen eller Forretningsvilkårene, eller handel av andeler i Verdipapirfond fra Forvaltningsselskapet, skal løses etter norsk lov og med Oslo tingrett som rett verneting. </w:t>
      </w:r>
    </w:p>
    <w:p w14:paraId="2795333E" w14:textId="77777777" w:rsidR="0065752A" w:rsidRPr="0065752A" w:rsidRDefault="0065752A" w:rsidP="0065752A">
      <w:r w:rsidRPr="0065752A">
        <w:t xml:space="preserve">Ved behov for å klage kan Kunden kontakte Forvaltningsselskapet via Forvaltningsselskapets </w:t>
      </w:r>
      <w:r w:rsidRPr="0065752A">
        <w:rPr>
          <w:color w:val="0070C0"/>
        </w:rPr>
        <w:t>[hjemmesider eller per post</w:t>
      </w:r>
      <w:r w:rsidRPr="0065752A">
        <w:t xml:space="preserve">]. </w:t>
      </w:r>
    </w:p>
    <w:p w14:paraId="21DB8D52" w14:textId="77777777" w:rsidR="0065752A" w:rsidRPr="0065752A" w:rsidRDefault="0065752A" w:rsidP="0065752A">
      <w:r w:rsidRPr="0065752A">
        <w:t xml:space="preserve">Oppstår det tvist mellom Kunden og Forvaltningsselskapet, kan Kunden bringe saken inn for Finansklagenemnda for </w:t>
      </w:r>
      <w:proofErr w:type="spellStart"/>
      <w:r w:rsidRPr="0065752A">
        <w:t>uttalelse</w:t>
      </w:r>
      <w:proofErr w:type="spellEnd"/>
      <w:r w:rsidRPr="0065752A">
        <w:t xml:space="preserve"> når nemnda er kompetent i tvisten og Kunden har saklig interesse i å få nemndas uttalelse. For at Finansklagenemnda skal behandle en eventuell tvist, må Kunden først inngi en klage til Forvaltningsselskapet, som må få en rimelig frist til å ta standpunkt til klagen. </w:t>
      </w:r>
    </w:p>
    <w:p w14:paraId="7EC93450" w14:textId="77777777" w:rsidR="0065752A" w:rsidRPr="0065752A" w:rsidRDefault="0065752A" w:rsidP="0065752A">
      <w:r w:rsidRPr="0065752A">
        <w:t xml:space="preserve">Henvendelser til Finansklagenemnda sendes Finansklagenemnda, Postboks 53, Skøyen 0212 Oslo, tlf. 23 13 19 60. For nærmere informasjon og klageskjema se </w:t>
      </w:r>
      <w:r w:rsidRPr="0065752A">
        <w:rPr>
          <w:color w:val="0070C0"/>
          <w:u w:val="single"/>
        </w:rPr>
        <w:t>www.finkn.no</w:t>
      </w:r>
      <w:r w:rsidRPr="0065752A">
        <w:t xml:space="preserve">. </w:t>
      </w:r>
    </w:p>
    <w:p w14:paraId="43CD573A" w14:textId="77777777" w:rsidR="000D7370" w:rsidRDefault="000D7370" w:rsidP="0065752A">
      <w:pPr>
        <w:rPr>
          <w:b/>
          <w:bCs/>
        </w:rPr>
      </w:pPr>
    </w:p>
    <w:p w14:paraId="07E8E3BE" w14:textId="2D73854B" w:rsidR="0065752A" w:rsidRPr="0065752A" w:rsidRDefault="0065752A" w:rsidP="0065752A">
      <w:r w:rsidRPr="0065752A">
        <w:rPr>
          <w:b/>
          <w:bCs/>
        </w:rPr>
        <w:t xml:space="preserve">9 VEDLEGG </w:t>
      </w:r>
    </w:p>
    <w:p w14:paraId="0C759B1C" w14:textId="77777777" w:rsidR="0065752A" w:rsidRPr="0065752A" w:rsidRDefault="0065752A" w:rsidP="0065752A">
      <w:r w:rsidRPr="0065752A">
        <w:t>[</w:t>
      </w:r>
      <w:r w:rsidRPr="0065752A">
        <w:rPr>
          <w:color w:val="FF0000"/>
        </w:rPr>
        <w:t>Dersom aktuelt</w:t>
      </w:r>
      <w:r w:rsidRPr="0065752A">
        <w:t xml:space="preserve">: </w:t>
      </w:r>
      <w:r w:rsidRPr="0065752A">
        <w:rPr>
          <w:color w:val="0070C0"/>
        </w:rPr>
        <w:t>Vedlegg 1 – Alminnelige Forretningsvilkår</w:t>
      </w:r>
      <w:r w:rsidRPr="0065752A">
        <w:t xml:space="preserve">] </w:t>
      </w:r>
    </w:p>
    <w:p w14:paraId="16CC45A9" w14:textId="65218583" w:rsidR="0065752A" w:rsidRDefault="0065752A" w:rsidP="0065752A">
      <w:r w:rsidRPr="0065752A">
        <w:t>[</w:t>
      </w:r>
      <w:r w:rsidRPr="0065752A">
        <w:rPr>
          <w:color w:val="FF0000"/>
        </w:rPr>
        <w:t>Dersom aktuelt</w:t>
      </w:r>
      <w:r w:rsidRPr="0065752A">
        <w:t xml:space="preserve">: </w:t>
      </w:r>
      <w:r w:rsidRPr="0065752A">
        <w:rPr>
          <w:color w:val="0070C0"/>
        </w:rPr>
        <w:t>Vedlegg 2 – Prisliste</w:t>
      </w:r>
      <w:r w:rsidRPr="0065752A">
        <w:t xml:space="preserve">] </w:t>
      </w:r>
    </w:p>
    <w:p w14:paraId="520BD1BF" w14:textId="77777777" w:rsidR="000D7370" w:rsidRPr="0065752A" w:rsidRDefault="000D7370" w:rsidP="0065752A"/>
    <w:p w14:paraId="3599189F" w14:textId="77777777" w:rsidR="0065752A" w:rsidRPr="0065752A" w:rsidRDefault="0065752A" w:rsidP="0065752A">
      <w:pPr>
        <w:rPr>
          <w:color w:val="0070C0"/>
        </w:rPr>
      </w:pPr>
      <w:r w:rsidRPr="0065752A">
        <w:rPr>
          <w:color w:val="0070C0"/>
        </w:rPr>
        <w:lastRenderedPageBreak/>
        <w:t xml:space="preserve">[sett inn signaturfelt om fysisk avtale, og tilpasset elektronisk signatur.] </w:t>
      </w:r>
    </w:p>
    <w:p w14:paraId="389EA37B" w14:textId="77777777" w:rsidR="000D7370" w:rsidRDefault="000D7370" w:rsidP="0065752A"/>
    <w:p w14:paraId="469231B3" w14:textId="1127E52E" w:rsidR="000D7370" w:rsidRDefault="000D7370" w:rsidP="0065752A"/>
    <w:p w14:paraId="428FE00A" w14:textId="77777777" w:rsidR="001F6F62" w:rsidRDefault="001F6F62" w:rsidP="0065752A"/>
    <w:p w14:paraId="2AC0940C" w14:textId="77777777" w:rsidR="000D7370" w:rsidRPr="000D7370" w:rsidRDefault="0065752A" w:rsidP="0065752A">
      <w:pPr>
        <w:rPr>
          <w:color w:val="FF0000"/>
        </w:rPr>
      </w:pPr>
      <w:r w:rsidRPr="0065752A">
        <w:rPr>
          <w:color w:val="FF0000"/>
        </w:rPr>
        <w:t xml:space="preserve">[Dersom aktuelt:] </w:t>
      </w:r>
    </w:p>
    <w:p w14:paraId="4577A43A" w14:textId="77777777" w:rsidR="000D7370" w:rsidRDefault="000D7370" w:rsidP="0065752A"/>
    <w:p w14:paraId="4D525664" w14:textId="38FC633B" w:rsidR="0065752A" w:rsidRPr="0065752A" w:rsidRDefault="0065752A" w:rsidP="0065752A">
      <w:r w:rsidRPr="0065752A">
        <w:rPr>
          <w:b/>
          <w:bCs/>
        </w:rPr>
        <w:t xml:space="preserve">Vedlegg 1 - Alminnelige Forretningsvilkår </w:t>
      </w:r>
    </w:p>
    <w:p w14:paraId="6AC910DE" w14:textId="77777777" w:rsidR="0065752A" w:rsidRPr="0065752A" w:rsidRDefault="0065752A" w:rsidP="0065752A">
      <w:r w:rsidRPr="0065752A">
        <w:rPr>
          <w:b/>
          <w:bCs/>
        </w:rPr>
        <w:t xml:space="preserve">UTKAST TIL BESTEMMELSER SOM KAN/BØR INNGÅ I FORRETNINGSVILKÅRENE </w:t>
      </w:r>
    </w:p>
    <w:p w14:paraId="3E990CFC" w14:textId="77777777" w:rsidR="0065752A" w:rsidRPr="0065752A" w:rsidRDefault="0065752A" w:rsidP="0065752A">
      <w:r w:rsidRPr="0065752A">
        <w:rPr>
          <w:b/>
          <w:bCs/>
        </w:rPr>
        <w:t xml:space="preserve">1 INNLEDNING </w:t>
      </w:r>
    </w:p>
    <w:p w14:paraId="1093EE99" w14:textId="77777777" w:rsidR="0065752A" w:rsidRPr="0065752A" w:rsidRDefault="0065752A" w:rsidP="0065752A">
      <w:r w:rsidRPr="0065752A">
        <w:t>Finansavtaleloven gjelder ikke for tjenester som omfattes av Forretningsvilkårene som ytes til kunder som ikke er forbrukere («</w:t>
      </w:r>
      <w:r w:rsidRPr="0065752A">
        <w:rPr>
          <w:b/>
          <w:bCs/>
        </w:rPr>
        <w:t>Ikke-forbrukere</w:t>
      </w:r>
      <w:r w:rsidRPr="0065752A">
        <w:t xml:space="preserve">»). </w:t>
      </w:r>
    </w:p>
    <w:p w14:paraId="16352F43" w14:textId="77777777" w:rsidR="0065752A" w:rsidRPr="0065752A" w:rsidRDefault="0065752A" w:rsidP="0065752A">
      <w:pPr>
        <w:rPr>
          <w:color w:val="0070C0"/>
        </w:rPr>
      </w:pPr>
      <w:r w:rsidRPr="0065752A">
        <w:rPr>
          <w:color w:val="0070C0"/>
        </w:rPr>
        <w:t xml:space="preserve">[Mer informasjon settes inn av hver enkelt.] </w:t>
      </w:r>
    </w:p>
    <w:p w14:paraId="1162E25A" w14:textId="77777777" w:rsidR="0065752A" w:rsidRPr="0065752A" w:rsidRDefault="0065752A" w:rsidP="0065752A">
      <w:r w:rsidRPr="0065752A">
        <w:rPr>
          <w:b/>
          <w:bCs/>
        </w:rPr>
        <w:t xml:space="preserve">2 KOMMUNIKASJON MED FORVALTNINGSSELSKAPET </w:t>
      </w:r>
    </w:p>
    <w:p w14:paraId="19925557" w14:textId="77777777" w:rsidR="0065752A" w:rsidRPr="0065752A" w:rsidRDefault="0065752A" w:rsidP="0065752A">
      <w:r w:rsidRPr="0065752A">
        <w:t xml:space="preserve">Kunden samtykker til at Forvaltningsselskapet kan kommunisere elektronisk med Kunden. Kunden kan reservere seg mot elektronisk kommunikasjon ved å melde fra skriftlig til Forvaltningsselskapet. Kunden vil i så fall normalt motta informasjon per post. Dersom Kunden ikke har reservert seg mot elektronisk kommunikasjon, får meldinger virkning for Kunden når meldingen er kommet frem til Kunden. </w:t>
      </w:r>
    </w:p>
    <w:p w14:paraId="1DE09864" w14:textId="77777777" w:rsidR="0065752A" w:rsidRPr="0065752A" w:rsidRDefault="0065752A" w:rsidP="0065752A">
      <w:r w:rsidRPr="0065752A">
        <w:t xml:space="preserve">Elektronisk kommunikasjon mellom Forvaltningsselskapet og Kunden vil skje via for eksempel e-post, telefon, tekstmelding </w:t>
      </w:r>
      <w:r w:rsidRPr="0065752A">
        <w:rPr>
          <w:color w:val="0070C0"/>
        </w:rPr>
        <w:t>[eller digital postkasse</w:t>
      </w:r>
      <w:r w:rsidRPr="0065752A">
        <w:t xml:space="preserve">]. Kunden er forpliktet til å løpende oppdatere informasjon om hvilken e-postadresse og telefonnummer Kunden benytter. </w:t>
      </w:r>
    </w:p>
    <w:p w14:paraId="4C42E721" w14:textId="77777777" w:rsidR="0065752A" w:rsidRPr="0065752A" w:rsidRDefault="0065752A" w:rsidP="0065752A">
      <w:r w:rsidRPr="0065752A">
        <w:t xml:space="preserve">Ved Kundens melding til Forvaltningsselskapet, anses meldingen for å være kommet frem når den på en betryggende måte er sendt til eller gjort tilgjengelig for Forvaltningsselskapet via de meldingsmuligheter som Forvaltningsselskapet har stilt til disposisjon. </w:t>
      </w:r>
    </w:p>
    <w:p w14:paraId="3DA9BCAC" w14:textId="3E25DE33" w:rsidR="0065752A" w:rsidRDefault="0065752A" w:rsidP="0065752A">
      <w:r w:rsidRPr="0065752A">
        <w:t>For ikke-forbrukere skjer kommunikasjon elektronisk mellom Forvaltningsselskapet og Kunden som gjelder tjenestene som omfattes av Forretningsvilkårene. Andre reguleringer i dette punkt [</w:t>
      </w:r>
      <w:r w:rsidRPr="0065752A">
        <w:rPr>
          <w:color w:val="0070C0"/>
        </w:rPr>
        <w:t>x</w:t>
      </w:r>
      <w:r w:rsidRPr="0065752A">
        <w:t xml:space="preserve">] får ikke </w:t>
      </w:r>
      <w:proofErr w:type="gramStart"/>
      <w:r w:rsidRPr="0065752A">
        <w:t>anvendelse</w:t>
      </w:r>
      <w:proofErr w:type="gramEnd"/>
      <w:r w:rsidRPr="0065752A">
        <w:t xml:space="preserve"> når kunden ikke er forbruker. </w:t>
      </w:r>
    </w:p>
    <w:p w14:paraId="4DCA2A0F" w14:textId="77777777" w:rsidR="003D54DB" w:rsidRPr="0065752A" w:rsidRDefault="003D54DB" w:rsidP="0065752A"/>
    <w:p w14:paraId="33B7EA9A" w14:textId="77777777" w:rsidR="0065752A" w:rsidRPr="0065752A" w:rsidRDefault="0065752A" w:rsidP="0065752A">
      <w:r w:rsidRPr="0065752A">
        <w:rPr>
          <w:b/>
          <w:bCs/>
        </w:rPr>
        <w:t xml:space="preserve">3 ANSVAR OG ANSVARSFRITAK </w:t>
      </w:r>
    </w:p>
    <w:p w14:paraId="31AFE0CD" w14:textId="77777777" w:rsidR="0065752A" w:rsidRPr="0065752A" w:rsidRDefault="0065752A" w:rsidP="0065752A">
      <w:pPr>
        <w:rPr>
          <w:color w:val="0070C0"/>
        </w:rPr>
      </w:pPr>
      <w:r w:rsidRPr="0065752A">
        <w:rPr>
          <w:color w:val="0070C0"/>
        </w:rPr>
        <w:t xml:space="preserve">[Dersom man yter investeringsrådgivning: Alle handler kunden gjennomfører etter at det er innhentet investeringsråd fra Forvaltningsselskapet, skjer etter kundens eget skjønn og avgjørelse. Forvaltningsselskapet påtar seg under enhver omstendighet ikke noe ansvar for rådgivningen dersom kunden helt eller delvis fraviker de råd som er mottatt. Forvaltningsselskapet er heller ikke ansvarlig dersom en uegnet eller uhensiktsmessig tjeneste ytes som følge av at Kunden har gitt Forvaltningsselskapet ufullstendige eller uriktige opplysninger.] </w:t>
      </w:r>
    </w:p>
    <w:p w14:paraId="434FDD8F" w14:textId="77777777" w:rsidR="0065752A" w:rsidRPr="0065752A" w:rsidRDefault="0065752A" w:rsidP="0065752A">
      <w:r w:rsidRPr="0065752A">
        <w:rPr>
          <w:i/>
          <w:iCs/>
        </w:rPr>
        <w:t xml:space="preserve">Forvaltningsselskapets ansvar for forbrukere </w:t>
      </w:r>
    </w:p>
    <w:p w14:paraId="69F37C8E" w14:textId="77777777" w:rsidR="0065752A" w:rsidRPr="0065752A" w:rsidRDefault="0065752A" w:rsidP="0065752A">
      <w:r w:rsidRPr="0065752A">
        <w:lastRenderedPageBreak/>
        <w:t xml:space="preserve">Forvaltningsselskapet eller dets ansatte er ikke ansvarlig for kundens tap så lenge Forvaltningsselskapet oppfylt alminnelige krav til aktsomhet, og som Forvaltningsselskapet med rimelighet kunne forutse som en mulig følge av pliktbruddet. </w:t>
      </w:r>
    </w:p>
    <w:p w14:paraId="3CFE49F9" w14:textId="77777777" w:rsidR="0065752A" w:rsidRPr="0065752A" w:rsidRDefault="0065752A" w:rsidP="0065752A">
      <w:r w:rsidRPr="0065752A">
        <w:t xml:space="preserve">For økonomisk tap som er forårsaket av en underleverandør som etter avtale med Forvaltningsselskapet forutsettes å bidra til oppfyllelse av tjenesteyterens plikter, kan både Forvaltningsselskapet og underleverandøren holdes ansvarlige. Erstatningen skal svare til det økonomiske tapet som er lidt som følge av at Forvaltningsselskapet eller eventuelt underleverandøren ikke har oppfylt sine plikter. </w:t>
      </w:r>
    </w:p>
    <w:p w14:paraId="0268AF00" w14:textId="77777777" w:rsidR="0065752A" w:rsidRPr="0065752A" w:rsidRDefault="0065752A" w:rsidP="0065752A">
      <w:r w:rsidRPr="0065752A">
        <w:t xml:space="preserve">På de vilkår som følger av skadeerstatningsloven § 5-1, kan erstatningen settes ned eller falle bort dersom skadelidte har medvirket til tapet eller latt være å begrense tapet. På de vilkår som følger av skadeerstatningsloven § 5-2, kan erstatningen lempes. </w:t>
      </w:r>
    </w:p>
    <w:p w14:paraId="050E48CD" w14:textId="77777777" w:rsidR="0065752A" w:rsidRPr="0065752A" w:rsidRDefault="0065752A" w:rsidP="0065752A">
      <w:r w:rsidRPr="0065752A">
        <w:t xml:space="preserve">Forvaltningsselskapet kan ikke holdes ansvarlig for økonomisk tap som er forårsaket av usedvanlige omstendigheter utenfor sin kontroll og som Forvaltningsselskapet ikke med rimelighet kunne forutse eller unngå følgene av. Det samme gjelder for tap som er forårsaket av at Forvaltningsselskapet er bundet av andre forpliktelser i eller i </w:t>
      </w:r>
      <w:proofErr w:type="gramStart"/>
      <w:r w:rsidRPr="0065752A">
        <w:t>medhold av</w:t>
      </w:r>
      <w:proofErr w:type="gramEnd"/>
      <w:r w:rsidRPr="0065752A">
        <w:t xml:space="preserve"> lov. Ansvarsfrihet varer så lenge de usedvanlige omstendighetene er til stede. Faller de nevnte omstendighetene bort, kan ansvar gjøres gjeldende dersom det fortsatt foreligger mislighold. </w:t>
      </w:r>
    </w:p>
    <w:p w14:paraId="100BA3FD" w14:textId="77777777" w:rsidR="0065752A" w:rsidRPr="0065752A" w:rsidRDefault="0065752A" w:rsidP="0065752A">
      <w:r w:rsidRPr="0065752A">
        <w:rPr>
          <w:i/>
          <w:iCs/>
        </w:rPr>
        <w:t xml:space="preserve">Forvaltningsselskapets ansvar for Ikke-forbrukere </w:t>
      </w:r>
    </w:p>
    <w:p w14:paraId="299EDE45" w14:textId="77777777" w:rsidR="0065752A" w:rsidRPr="0065752A" w:rsidRDefault="0065752A" w:rsidP="0065752A">
      <w:r w:rsidRPr="0065752A">
        <w:t xml:space="preserve">For ikke-forbrukere vil Forvaltningsselskapet først bli ansvarlig ved grov uaktsomhet. For de tilfeller der Forvaltningsselskapet har benyttet finansforetak, verdipapirforetak, oppgjørssentraler eller andre tilsvarende norske eller utenlandske medhjelpere, vil Forvaltningsselskapet eller dets ansatte kun være ansvarlig for disse medhjelpernes handlinger eller unnlatelser dersom det ikke har oppfylt alminnelige krav til aktsomhet ved utvelgelsen av sine medhjelpere. Dersom medhjelpere som nevnt i forrige punktum er benyttet etter ordre eller krav fra kunden, påtar Forvaltningsselskapet seg ikke noe ansvar for feil eller mislighold fra disse. </w:t>
      </w:r>
    </w:p>
    <w:p w14:paraId="4EC1BE97" w14:textId="77777777" w:rsidR="0065752A" w:rsidRPr="0065752A" w:rsidRDefault="0065752A" w:rsidP="0065752A">
      <w:r w:rsidRPr="0065752A">
        <w:t xml:space="preserve">På de vilkår som følger av skadeerstatningsloven § 5-1, kan erstatningen settes ned eller falle bort dersom skadelidte har medvirket til tapet eller latt være å begrense tapet, jf. likevel § 5-5. På de vilkår som følger av skadeerstatningsloven § 5-2, kan erstatningen lempes. </w:t>
      </w:r>
    </w:p>
    <w:p w14:paraId="79B98DEB" w14:textId="77777777" w:rsidR="0065752A" w:rsidRPr="0065752A" w:rsidRDefault="0065752A" w:rsidP="0065752A">
      <w:r w:rsidRPr="0065752A">
        <w:t xml:space="preserve">Forvaltningsselskapet påtar seg ikke noe ansvar for indirekte skade eller tap som påføres Kunden. </w:t>
      </w:r>
    </w:p>
    <w:p w14:paraId="5E865779" w14:textId="77777777" w:rsidR="0065752A" w:rsidRPr="0065752A" w:rsidRDefault="0065752A" w:rsidP="0065752A">
      <w:r w:rsidRPr="0065752A">
        <w:rPr>
          <w:i/>
          <w:iCs/>
        </w:rPr>
        <w:t xml:space="preserve">Generelle ansvarsbestemmelser for forbrukere og ikke forbrukere </w:t>
      </w:r>
    </w:p>
    <w:p w14:paraId="62D69466" w14:textId="77777777" w:rsidR="0065752A" w:rsidRPr="0065752A" w:rsidRDefault="0065752A" w:rsidP="0065752A">
      <w:r w:rsidRPr="0065752A">
        <w:t xml:space="preserve">Kunden plikter å gjøre seg kjent med tjenestens viktigste egenskaper og opplysningene som mottas fra Forvaltningsselskapet. Dersom kunden uten rimelig grunn unnlater å følge en oppfordring fra Forvaltningsselskapet om å gjøre seg kjent med opplysningene som kunden mottar er Forvaltningsselskapet ikke ansvarlig for noe som kunden burde ha blitt kjent med ved å følge oppfordringen. </w:t>
      </w:r>
    </w:p>
    <w:p w14:paraId="5D07E5EB" w14:textId="77777777" w:rsidR="0065752A" w:rsidRPr="0065752A" w:rsidRDefault="0065752A" w:rsidP="0065752A">
      <w:r w:rsidRPr="0065752A">
        <w:t xml:space="preserve">Forvaltningsselskapet forbeholder seg retten til å stenge ned, suspendere eller begrense tjenestene som reguleres av disse Forretningsvilkårene dersom det inntrer omstendigheter utenfor Forvaltningsselskapet kontroll og som Forvaltningsselskapet ikke med rimelighet kunne forutse eller unngå følgene av. </w:t>
      </w:r>
    </w:p>
    <w:p w14:paraId="130C528C" w14:textId="77777777" w:rsidR="0065752A" w:rsidRPr="0065752A" w:rsidRDefault="0065752A" w:rsidP="0065752A">
      <w:r w:rsidRPr="0065752A">
        <w:t xml:space="preserve">Det samme gjelder forhold som skyldes plikter som er pålagt Forvaltningsselskapet eller i </w:t>
      </w:r>
      <w:proofErr w:type="gramStart"/>
      <w:r w:rsidRPr="0065752A">
        <w:t>medhold av</w:t>
      </w:r>
      <w:proofErr w:type="gramEnd"/>
      <w:r w:rsidRPr="0065752A">
        <w:t xml:space="preserve"> lov, samt for å ivareta Forvaltningsselskapets, kundens eller andre kunders interesser. </w:t>
      </w:r>
      <w:r w:rsidRPr="0065752A">
        <w:lastRenderedPageBreak/>
        <w:t xml:space="preserve">Forvaltningsselskapet er heller ikke ansvarlig for skade eller tap som skyldes hindring eller andre forhold utenfor Forvaltningsselskapets kontroll. </w:t>
      </w:r>
    </w:p>
    <w:p w14:paraId="5AC78718" w14:textId="77777777" w:rsidR="0065752A" w:rsidRPr="0065752A" w:rsidRDefault="0065752A" w:rsidP="0065752A">
      <w:r w:rsidRPr="0065752A">
        <w:t xml:space="preserve">Slike omstendigheter er blant annet, men ikke begrenset til, mangel, feil i eller angrep på strømforsyning, data- eller andre elektroniske kommunikasjonssystemer eller handelssystemer, at børser, regulerte markeder eller linkende handelsplasser, ol. midlertidig stenger for handel i det relevante finansielle instrumentet eller andre handlinger som skyldes forhold på slike foretaks side], offentlig myndighets inngripen, sabotasje, vandalisme (inkludert datavirus og hacking), naturkatastrofe, krigshandling, terrorhandling, streik, blokade, boikott, lockout, og/eller nasjonale eller internasjonale sanksjoner. </w:t>
      </w:r>
    </w:p>
    <w:p w14:paraId="33969370" w14:textId="77777777" w:rsidR="0065752A" w:rsidRPr="0065752A" w:rsidRDefault="0065752A" w:rsidP="0065752A">
      <w:r w:rsidRPr="0065752A">
        <w:t xml:space="preserve">Forvaltningsselskapets plikter etter Forretningsvilkårene opphører midlertidig og kunden har ikke rett til erstatning for skade eller tap, verken direkte eller indirekte tap, som kan oppstå på grunn av at Forvaltningsselskapet har innstilt, suspendert eller begrenset Kundens adgang til de tjenestene som Forretningsvilkårene omfatter. Forvaltningsselskapet er heller ikke ansvarlig dersom en uegnet eller uhensiktsmessig tjeneste ytes som følge av at kunden har gitt Forvaltningsselskapet ufullstendige eller uriktige opplysninger. </w:t>
      </w:r>
    </w:p>
    <w:p w14:paraId="32A302DC" w14:textId="77777777" w:rsidR="0065752A" w:rsidRPr="0065752A" w:rsidRDefault="0065752A" w:rsidP="0065752A">
      <w:r w:rsidRPr="0065752A">
        <w:rPr>
          <w:b/>
          <w:bCs/>
        </w:rPr>
        <w:t xml:space="preserve">4 ANGRERETT </w:t>
      </w:r>
    </w:p>
    <w:p w14:paraId="32B17D3A" w14:textId="77777777" w:rsidR="0065752A" w:rsidRPr="0065752A" w:rsidRDefault="0065752A" w:rsidP="0065752A">
      <w:r w:rsidRPr="0065752A">
        <w:t xml:space="preserve">Kunden har ingen angrerett i henhold til finansavtaleloven idet angreretten ikke gjelder for handel i finansielle instrumenter som omfattes av disse Forretningsvilkårene. </w:t>
      </w:r>
    </w:p>
    <w:p w14:paraId="5E1DE299" w14:textId="77777777" w:rsidR="0065752A" w:rsidRPr="0065752A" w:rsidRDefault="0065752A" w:rsidP="0065752A">
      <w:r w:rsidRPr="0065752A">
        <w:rPr>
          <w:b/>
          <w:bCs/>
        </w:rPr>
        <w:t xml:space="preserve">5 ENDRINGER </w:t>
      </w:r>
    </w:p>
    <w:p w14:paraId="3B8B0131" w14:textId="77777777" w:rsidR="0065752A" w:rsidRPr="0065752A" w:rsidRDefault="0065752A" w:rsidP="0065752A">
      <w:r w:rsidRPr="0065752A">
        <w:t>De samme regler som gjelder for endring av Avtalen inngått med kunden gjelder for endringer i Forretningsvilkårene. Endringsbestemmelsene i punkt [</w:t>
      </w:r>
      <w:r w:rsidRPr="0065752A">
        <w:rPr>
          <w:color w:val="0070C0"/>
        </w:rPr>
        <w:t>x</w:t>
      </w:r>
      <w:r w:rsidRPr="0065752A">
        <w:t>] i Avtalen og dette punkt [</w:t>
      </w:r>
      <w:r w:rsidRPr="0065752A">
        <w:rPr>
          <w:color w:val="0070C0"/>
        </w:rPr>
        <w:t>x</w:t>
      </w:r>
      <w:r w:rsidRPr="0065752A">
        <w:t xml:space="preserve">] gjelder kun for kunder som er forbrukere. </w:t>
      </w:r>
    </w:p>
    <w:p w14:paraId="5EB98712" w14:textId="77777777" w:rsidR="0065752A" w:rsidRPr="0065752A" w:rsidRDefault="0065752A" w:rsidP="0065752A">
      <w:r w:rsidRPr="0065752A">
        <w:rPr>
          <w:b/>
          <w:bCs/>
        </w:rPr>
        <w:t xml:space="preserve">6 TOLKNING OG FORHOLDET TIL FINANSAVTALELOVEN FOR FORBRUKERE </w:t>
      </w:r>
    </w:p>
    <w:p w14:paraId="0E7FA851" w14:textId="77777777" w:rsidR="0065752A" w:rsidRPr="0065752A" w:rsidRDefault="0065752A" w:rsidP="0065752A">
      <w:r w:rsidRPr="0065752A">
        <w:t xml:space="preserve">I tilfelle motstrid med lovgivning som kan fravikes ved avtale, skal disse Forretningsvilkårene ha forrang. I tilfeller der det henvises til lovgivning, andre regler eller disse vilkår, skal dette forstås slik disse lover, regler og vilkår til enhver tid gjelder. Når kunden er forbruker skal Forretningsvilkårene, sedvane og etablert praksis gå foran fravikelige bestemmelser i lov ved motstrid. </w:t>
      </w:r>
    </w:p>
    <w:p w14:paraId="5268D8AF" w14:textId="77777777" w:rsidR="0065752A" w:rsidRPr="0065752A" w:rsidRDefault="0065752A" w:rsidP="0065752A">
      <w:r w:rsidRPr="0065752A">
        <w:rPr>
          <w:b/>
          <w:bCs/>
        </w:rPr>
        <w:t xml:space="preserve">7 REKLAMASJON </w:t>
      </w:r>
    </w:p>
    <w:p w14:paraId="1B4D8054" w14:textId="77777777" w:rsidR="0065752A" w:rsidRPr="0065752A" w:rsidRDefault="0065752A" w:rsidP="0065752A">
      <w:r w:rsidRPr="0065752A">
        <w:t xml:space="preserve">Foreligger det mislighold fra Forvaltningsselskapets side må Kunden gi melding til Forvaltningsselskapet om misligholder innen rimelig tid etter at Kunden oppdaget eller burde ha oppdaget misligholdet. </w:t>
      </w:r>
    </w:p>
    <w:p w14:paraId="0740C653" w14:textId="77777777" w:rsidR="0065752A" w:rsidRPr="0065752A" w:rsidRDefault="0065752A" w:rsidP="0065752A">
      <w:r w:rsidRPr="0065752A">
        <w:t xml:space="preserve">Forbrukere må gi slik melding senest innen to måneder etter at Kunden oppdaget eller burde ha oppdaget misligholdet. Kunden taper sin rett til å gjøre krav som følge av misligholdet gjeldende om denne fristen ikke overholdes, med mindre Forvaltningsselskapet har opptrådt grovt uaktsomt eller </w:t>
      </w:r>
      <w:proofErr w:type="gramStart"/>
      <w:r w:rsidRPr="0065752A">
        <w:t>for øvrig</w:t>
      </w:r>
      <w:proofErr w:type="gramEnd"/>
      <w:r w:rsidRPr="0065752A">
        <w:t xml:space="preserve"> i strid med redelighet og god tro. </w:t>
      </w:r>
    </w:p>
    <w:p w14:paraId="13BC96CC" w14:textId="5B050D48" w:rsidR="009E175E" w:rsidRDefault="0065752A" w:rsidP="0065752A">
      <w:r w:rsidRPr="0065752A">
        <w:t>Ikke-forbrukere må sende melding til Forvaltningsselskapet om misligholdet senest innen utløpet av neste bankdag etter at Kunden oppdaget eller burde ha oppdaget misligholdet. Bestemmelsene om reklamasjon gjelder tilsvarende for krav som Kunden etter reglene i finansavtaleloven kan gjøre gjeldende mot en tredjeperson for mislighold av Forvaltningsselskapets plikter. For handel med verdipapirfond og alternative investeringsfond gjennom Forvaltningsselskapet, gjelder de alminnelige regler om avtalers ugyldighet tilsvarende i forholdet mellom kjøperen og selgeren</w:t>
      </w:r>
    </w:p>
    <w:sectPr w:rsidR="009E17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628E8" w14:textId="77777777" w:rsidR="00B7069A" w:rsidRDefault="00B7069A" w:rsidP="00B7069A">
      <w:pPr>
        <w:spacing w:after="0" w:line="240" w:lineRule="auto"/>
      </w:pPr>
      <w:r>
        <w:separator/>
      </w:r>
    </w:p>
  </w:endnote>
  <w:endnote w:type="continuationSeparator" w:id="0">
    <w:p w14:paraId="56C43573" w14:textId="77777777" w:rsidR="00B7069A" w:rsidRDefault="00B7069A" w:rsidP="00B70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88DAF" w14:textId="77777777" w:rsidR="00B7069A" w:rsidRDefault="00B7069A" w:rsidP="00B7069A">
      <w:pPr>
        <w:spacing w:after="0" w:line="240" w:lineRule="auto"/>
      </w:pPr>
      <w:r>
        <w:separator/>
      </w:r>
    </w:p>
  </w:footnote>
  <w:footnote w:type="continuationSeparator" w:id="0">
    <w:p w14:paraId="074A5685" w14:textId="77777777" w:rsidR="00B7069A" w:rsidRDefault="00B7069A" w:rsidP="00B706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52A"/>
    <w:rsid w:val="0004203B"/>
    <w:rsid w:val="000777A9"/>
    <w:rsid w:val="000D7370"/>
    <w:rsid w:val="00157E29"/>
    <w:rsid w:val="00176975"/>
    <w:rsid w:val="001F6F62"/>
    <w:rsid w:val="003B5B2A"/>
    <w:rsid w:val="003D54DB"/>
    <w:rsid w:val="005D46C3"/>
    <w:rsid w:val="0060038D"/>
    <w:rsid w:val="0065752A"/>
    <w:rsid w:val="006A07A9"/>
    <w:rsid w:val="00896F53"/>
    <w:rsid w:val="008C26DB"/>
    <w:rsid w:val="00AA797C"/>
    <w:rsid w:val="00AC78F1"/>
    <w:rsid w:val="00B37504"/>
    <w:rsid w:val="00B7069A"/>
    <w:rsid w:val="00C21896"/>
    <w:rsid w:val="00CE2A34"/>
    <w:rsid w:val="00D171AF"/>
    <w:rsid w:val="00E03892"/>
    <w:rsid w:val="00E97985"/>
    <w:rsid w:val="00F04D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A7D3"/>
  <w15:chartTrackingRefBased/>
  <w15:docId w15:val="{73A372A1-E87F-4D58-94C9-D3C9153A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visjon">
    <w:name w:val="Revision"/>
    <w:hidden/>
    <w:uiPriority w:val="99"/>
    <w:semiHidden/>
    <w:rsid w:val="003B5B2A"/>
    <w:pPr>
      <w:spacing w:after="0" w:line="240" w:lineRule="auto"/>
    </w:pPr>
  </w:style>
  <w:style w:type="character" w:styleId="Merknadsreferanse">
    <w:name w:val="annotation reference"/>
    <w:basedOn w:val="Standardskriftforavsnitt"/>
    <w:uiPriority w:val="99"/>
    <w:semiHidden/>
    <w:unhideWhenUsed/>
    <w:rsid w:val="0060038D"/>
    <w:rPr>
      <w:sz w:val="16"/>
      <w:szCs w:val="16"/>
    </w:rPr>
  </w:style>
  <w:style w:type="paragraph" w:styleId="Merknadstekst">
    <w:name w:val="annotation text"/>
    <w:basedOn w:val="Normal"/>
    <w:link w:val="MerknadstekstTegn"/>
    <w:uiPriority w:val="99"/>
    <w:semiHidden/>
    <w:unhideWhenUsed/>
    <w:rsid w:val="0060038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0038D"/>
    <w:rPr>
      <w:sz w:val="20"/>
      <w:szCs w:val="20"/>
    </w:rPr>
  </w:style>
  <w:style w:type="paragraph" w:styleId="Kommentaremne">
    <w:name w:val="annotation subject"/>
    <w:basedOn w:val="Merknadstekst"/>
    <w:next w:val="Merknadstekst"/>
    <w:link w:val="KommentaremneTegn"/>
    <w:uiPriority w:val="99"/>
    <w:semiHidden/>
    <w:unhideWhenUsed/>
    <w:rsid w:val="0060038D"/>
    <w:rPr>
      <w:b/>
      <w:bCs/>
    </w:rPr>
  </w:style>
  <w:style w:type="character" w:customStyle="1" w:styleId="KommentaremneTegn">
    <w:name w:val="Kommentaremne Tegn"/>
    <w:basedOn w:val="MerknadstekstTegn"/>
    <w:link w:val="Kommentaremne"/>
    <w:uiPriority w:val="99"/>
    <w:semiHidden/>
    <w:rsid w:val="0060038D"/>
    <w:rPr>
      <w:b/>
      <w:bCs/>
      <w:sz w:val="20"/>
      <w:szCs w:val="20"/>
    </w:rPr>
  </w:style>
  <w:style w:type="paragraph" w:styleId="Topptekst">
    <w:name w:val="header"/>
    <w:basedOn w:val="Normal"/>
    <w:link w:val="TopptekstTegn"/>
    <w:uiPriority w:val="99"/>
    <w:unhideWhenUsed/>
    <w:rsid w:val="00B7069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7069A"/>
  </w:style>
  <w:style w:type="paragraph" w:styleId="Bunntekst">
    <w:name w:val="footer"/>
    <w:basedOn w:val="Normal"/>
    <w:link w:val="BunntekstTegn"/>
    <w:uiPriority w:val="99"/>
    <w:unhideWhenUsed/>
    <w:rsid w:val="00B7069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70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2972</Words>
  <Characters>15757</Characters>
  <Application>Microsoft Office Word</Application>
  <DocSecurity>0</DocSecurity>
  <Lines>131</Lines>
  <Paragraphs>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Erlend Lundgren</dc:creator>
  <cp:keywords/>
  <dc:description/>
  <cp:lastModifiedBy>Erlend Lundgren</cp:lastModifiedBy>
  <cp:revision>3</cp:revision>
  <dcterms:created xsi:type="dcterms:W3CDTF">2023-05-04T09:01:00Z</dcterms:created>
  <dcterms:modified xsi:type="dcterms:W3CDTF">2023-05-04T13:16:00Z</dcterms:modified>
</cp:coreProperties>
</file>